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62D550FF" w:rsidR="00BA0AE6" w:rsidRPr="00BA0AE6" w:rsidRDefault="00BA0AE6" w:rsidP="00BA0AE6">
      <w:pPr>
        <w:pStyle w:val="Header"/>
        <w:tabs>
          <w:tab w:val="right" w:pos="9639"/>
        </w:tabs>
        <w:rPr>
          <w:bCs/>
          <w:noProof w:val="0"/>
          <w:sz w:val="24"/>
          <w:szCs w:val="24"/>
        </w:rPr>
      </w:pPr>
      <w:r w:rsidRPr="00BA0AE6">
        <w:rPr>
          <w:bCs/>
          <w:noProof w:val="0"/>
          <w:sz w:val="24"/>
          <w:szCs w:val="24"/>
        </w:rPr>
        <w:t>3GPP TSG</w:t>
      </w:r>
      <w:r w:rsidR="00A25118">
        <w:rPr>
          <w:bCs/>
          <w:noProof w:val="0"/>
          <w:sz w:val="24"/>
          <w:szCs w:val="24"/>
        </w:rPr>
        <w:t>-</w:t>
      </w:r>
      <w:r w:rsidRPr="00BA0AE6">
        <w:rPr>
          <w:bCs/>
          <w:noProof w:val="0"/>
          <w:sz w:val="24"/>
          <w:szCs w:val="24"/>
        </w:rPr>
        <w:t>RAN</w:t>
      </w:r>
      <w:r w:rsidR="00A25118">
        <w:rPr>
          <w:bCs/>
          <w:noProof w:val="0"/>
          <w:sz w:val="24"/>
          <w:szCs w:val="24"/>
        </w:rPr>
        <w:t xml:space="preserve"> WG4 </w:t>
      </w:r>
      <w:r w:rsidRPr="00BA0AE6">
        <w:rPr>
          <w:bCs/>
          <w:noProof w:val="0"/>
          <w:sz w:val="24"/>
          <w:szCs w:val="24"/>
        </w:rPr>
        <w:t>Meeting #</w:t>
      </w:r>
      <w:r w:rsidR="00A25118">
        <w:rPr>
          <w:bCs/>
          <w:noProof w:val="0"/>
          <w:sz w:val="24"/>
          <w:szCs w:val="24"/>
        </w:rPr>
        <w:t>90bis</w:t>
      </w:r>
      <w:r w:rsidRPr="00BA0AE6">
        <w:rPr>
          <w:rFonts w:hint="eastAsia"/>
          <w:bCs/>
          <w:noProof w:val="0"/>
          <w:sz w:val="24"/>
          <w:szCs w:val="24"/>
        </w:rPr>
        <w:tab/>
      </w:r>
      <w:r w:rsidR="000A3761" w:rsidRPr="000A3761">
        <w:rPr>
          <w:bCs/>
          <w:noProof w:val="0"/>
          <w:sz w:val="24"/>
          <w:szCs w:val="24"/>
        </w:rPr>
        <w:t>R</w:t>
      </w:r>
      <w:r w:rsidR="00A25118">
        <w:rPr>
          <w:bCs/>
          <w:noProof w:val="0"/>
          <w:sz w:val="24"/>
          <w:szCs w:val="24"/>
        </w:rPr>
        <w:t>4</w:t>
      </w:r>
      <w:r w:rsidR="000A3761" w:rsidRPr="000A3761">
        <w:rPr>
          <w:bCs/>
          <w:noProof w:val="0"/>
          <w:sz w:val="24"/>
          <w:szCs w:val="24"/>
        </w:rPr>
        <w:t>-19</w:t>
      </w:r>
      <w:r w:rsidR="00395796">
        <w:rPr>
          <w:bCs/>
          <w:noProof w:val="0"/>
          <w:sz w:val="24"/>
          <w:szCs w:val="24"/>
        </w:rPr>
        <w:t>04315</w:t>
      </w:r>
    </w:p>
    <w:p w14:paraId="6816C334" w14:textId="61C1207F" w:rsidR="00F24DF0" w:rsidRPr="00F24DF0" w:rsidRDefault="00A25118" w:rsidP="00F24DF0">
      <w:pPr>
        <w:pStyle w:val="Header"/>
        <w:tabs>
          <w:tab w:val="right" w:pos="9639"/>
        </w:tabs>
        <w:rPr>
          <w:bCs/>
          <w:noProof w:val="0"/>
          <w:sz w:val="24"/>
          <w:szCs w:val="24"/>
        </w:rPr>
      </w:pPr>
      <w:r>
        <w:rPr>
          <w:rFonts w:hint="eastAsia"/>
          <w:color w:val="000000"/>
          <w:sz w:val="24"/>
          <w:lang w:val="en-GB" w:eastAsia="zh-CN"/>
        </w:rPr>
        <w:t>Xi</w:t>
      </w:r>
      <w:r>
        <w:rPr>
          <w:color w:val="000000"/>
          <w:sz w:val="24"/>
          <w:lang w:val="en-GB" w:eastAsia="zh-CN"/>
        </w:rPr>
        <w:t>’</w:t>
      </w:r>
      <w:r>
        <w:rPr>
          <w:rFonts w:hint="eastAsia"/>
          <w:color w:val="000000"/>
          <w:sz w:val="24"/>
          <w:lang w:val="en-GB" w:eastAsia="zh-CN"/>
        </w:rPr>
        <w:t>an</w:t>
      </w:r>
      <w:r w:rsidR="00F24DF0" w:rsidRPr="00F24DF0">
        <w:rPr>
          <w:bCs/>
          <w:noProof w:val="0"/>
          <w:sz w:val="24"/>
          <w:szCs w:val="24"/>
        </w:rPr>
        <w:t xml:space="preserve">, China, </w:t>
      </w:r>
      <w:r>
        <w:rPr>
          <w:bCs/>
          <w:noProof w:val="0"/>
          <w:sz w:val="24"/>
          <w:szCs w:val="24"/>
        </w:rPr>
        <w:t>April</w:t>
      </w:r>
      <w:r w:rsidR="00F24DF0" w:rsidRPr="00F24DF0">
        <w:rPr>
          <w:bCs/>
          <w:noProof w:val="0"/>
          <w:sz w:val="24"/>
          <w:szCs w:val="24"/>
        </w:rPr>
        <w:t xml:space="preserve"> 8-</w:t>
      </w:r>
      <w:r>
        <w:rPr>
          <w:bCs/>
          <w:noProof w:val="0"/>
          <w:sz w:val="24"/>
          <w:szCs w:val="24"/>
        </w:rPr>
        <w:t>12</w:t>
      </w:r>
      <w:r w:rsidR="00F24DF0" w:rsidRPr="00F24DF0">
        <w:rPr>
          <w:bCs/>
          <w:noProof w:val="0"/>
          <w:sz w:val="24"/>
          <w:szCs w:val="24"/>
        </w:rPr>
        <w:t>, 2019</w:t>
      </w:r>
    </w:p>
    <w:p w14:paraId="5E95391B" w14:textId="1C9076F4" w:rsidR="00BA0AE6" w:rsidRDefault="00BA0AE6" w:rsidP="00CA26CE">
      <w:pPr>
        <w:pStyle w:val="Header"/>
        <w:rPr>
          <w:bCs/>
          <w:noProof w:val="0"/>
          <w:sz w:val="24"/>
          <w:lang w:val="en-GB" w:eastAsia="ja-JP"/>
        </w:rPr>
      </w:pPr>
    </w:p>
    <w:p w14:paraId="3263400A" w14:textId="249C7F06" w:rsidR="00BA0AE6" w:rsidRDefault="00BA0AE6" w:rsidP="00CA26CE">
      <w:pPr>
        <w:pStyle w:val="Header"/>
        <w:rPr>
          <w:bCs/>
          <w:noProof w:val="0"/>
          <w:sz w:val="24"/>
          <w:lang w:val="en-GB" w:eastAsia="ja-JP"/>
        </w:rPr>
      </w:pPr>
    </w:p>
    <w:p w14:paraId="22C1D648" w14:textId="77777777" w:rsidR="00BA0AE6" w:rsidRPr="00850D96" w:rsidRDefault="00BA0AE6" w:rsidP="00CA26CE">
      <w:pPr>
        <w:pStyle w:val="Header"/>
        <w:rPr>
          <w:bCs/>
          <w:noProof w:val="0"/>
          <w:sz w:val="24"/>
          <w:lang w:val="en-GB" w:eastAsia="ja-JP"/>
        </w:rPr>
      </w:pPr>
    </w:p>
    <w:p w14:paraId="30E02941" w14:textId="3576E934"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787209">
        <w:rPr>
          <w:rFonts w:cs="Arial"/>
          <w:b/>
          <w:bCs/>
          <w:sz w:val="24"/>
        </w:rPr>
        <w:t>6.4</w:t>
      </w:r>
    </w:p>
    <w:p w14:paraId="30E02942" w14:textId="2FFED700"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30E02943" w14:textId="309FE96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25D54">
        <w:rPr>
          <w:rFonts w:ascii="Arial" w:hAnsi="Arial" w:cs="Arial"/>
          <w:b/>
          <w:bCs/>
          <w:sz w:val="24"/>
        </w:rPr>
        <w:t>O</w:t>
      </w:r>
      <w:r w:rsidR="00B25D54" w:rsidRPr="00B25D54">
        <w:rPr>
          <w:rFonts w:ascii="Arial" w:hAnsi="Arial" w:cs="Arial"/>
          <w:b/>
          <w:bCs/>
          <w:sz w:val="24"/>
        </w:rPr>
        <w:t>n UL sharing applicability in different scenarios</w:t>
      </w:r>
    </w:p>
    <w:p w14:paraId="30E02944" w14:textId="07BB6D34"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8861CC">
        <w:rPr>
          <w:rFonts w:ascii="Arial" w:hAnsi="Arial" w:cs="Arial"/>
          <w:b/>
          <w:bCs/>
          <w:sz w:val="24"/>
          <w:szCs w:val="24"/>
        </w:rPr>
        <w:t xml:space="preserve">Discussion </w:t>
      </w:r>
    </w:p>
    <w:p w14:paraId="6DDF81FD" w14:textId="77777777" w:rsidR="00255033" w:rsidRPr="00ED1327" w:rsidRDefault="00255033" w:rsidP="00255033">
      <w:pPr>
        <w:pStyle w:val="Heading1"/>
      </w:pPr>
      <w:r w:rsidRPr="0016316A">
        <w:t>Introduction</w:t>
      </w:r>
    </w:p>
    <w:p w14:paraId="353DAA05" w14:textId="64541BCA" w:rsidR="00B52E3A" w:rsidRDefault="00B52E3A" w:rsidP="009C00D3">
      <w:r>
        <w:t>RAN2 asks guidance from RAN4 and RAN1 on E-UTRA – NR UL sharing applicability especially for FDD bands in the LS [1]. The following questions are asked from RAN4</w:t>
      </w:r>
      <w:r w:rsidR="00C76A68">
        <w:t>:</w:t>
      </w:r>
    </w:p>
    <w:tbl>
      <w:tblPr>
        <w:tblStyle w:val="TableGrid"/>
        <w:tblW w:w="0" w:type="auto"/>
        <w:tblLook w:val="04A0" w:firstRow="1" w:lastRow="0" w:firstColumn="1" w:lastColumn="0" w:noHBand="0" w:noVBand="1"/>
      </w:tblPr>
      <w:tblGrid>
        <w:gridCol w:w="9629"/>
      </w:tblGrid>
      <w:tr w:rsidR="00B52E3A" w14:paraId="27910AFD" w14:textId="77777777" w:rsidTr="00B52E3A">
        <w:tc>
          <w:tcPr>
            <w:tcW w:w="9629" w:type="dxa"/>
          </w:tcPr>
          <w:p w14:paraId="538802DC" w14:textId="77777777" w:rsidR="00B52E3A" w:rsidRPr="00B52E3A" w:rsidRDefault="00B52E3A" w:rsidP="00B52E3A">
            <w:pPr>
              <w:spacing w:after="120"/>
              <w:ind w:left="993" w:hanging="993"/>
              <w:rPr>
                <w:rFonts w:ascii="Arial" w:hAnsi="Arial" w:cs="Arial"/>
              </w:rPr>
            </w:pPr>
            <w:r w:rsidRPr="00B52E3A">
              <w:rPr>
                <w:rFonts w:ascii="Arial" w:hAnsi="Arial" w:cs="Arial"/>
              </w:rPr>
              <w:t xml:space="preserve">ACTION: </w:t>
            </w:r>
            <w:r w:rsidRPr="00B52E3A">
              <w:rPr>
                <w:rFonts w:ascii="Arial" w:hAnsi="Arial" w:cs="Arial"/>
              </w:rPr>
              <w:tab/>
              <w:t>RAN2 respectfully asks RAN4 to provide answers to the following questions:</w:t>
            </w:r>
          </w:p>
          <w:p w14:paraId="23E299B3" w14:textId="77777777" w:rsidR="00B52E3A" w:rsidRPr="00B52E3A" w:rsidRDefault="00B52E3A" w:rsidP="00B52E3A">
            <w:pPr>
              <w:pStyle w:val="Header"/>
              <w:widowControl/>
              <w:numPr>
                <w:ilvl w:val="0"/>
                <w:numId w:val="40"/>
              </w:numPr>
              <w:tabs>
                <w:tab w:val="center" w:pos="4153"/>
                <w:tab w:val="right" w:pos="8306"/>
              </w:tabs>
              <w:overflowPunct/>
              <w:autoSpaceDE/>
              <w:autoSpaceDN/>
              <w:adjustRightInd/>
              <w:spacing w:after="120"/>
              <w:textAlignment w:val="auto"/>
              <w:rPr>
                <w:rFonts w:cs="Arial"/>
                <w:b w:val="0"/>
              </w:rPr>
            </w:pPr>
            <w:r w:rsidRPr="00B52E3A">
              <w:rPr>
                <w:rFonts w:cs="Arial"/>
                <w:b w:val="0"/>
              </w:rPr>
              <w:t>Is the shared E-UTRA-NR FDD carrier supported in RAN4, i.e. the case where both FDD DL carrier and FDD UL carrier are shared from UE perspective by E-UTRA and NR?</w:t>
            </w:r>
          </w:p>
          <w:p w14:paraId="472F3175" w14:textId="77777777" w:rsidR="00B52E3A" w:rsidRPr="00B52E3A" w:rsidRDefault="00B52E3A" w:rsidP="00B52E3A">
            <w:pPr>
              <w:pStyle w:val="Header"/>
              <w:widowControl/>
              <w:numPr>
                <w:ilvl w:val="0"/>
                <w:numId w:val="40"/>
              </w:numPr>
              <w:tabs>
                <w:tab w:val="center" w:pos="4153"/>
                <w:tab w:val="right" w:pos="8306"/>
              </w:tabs>
              <w:overflowPunct/>
              <w:autoSpaceDE/>
              <w:autoSpaceDN/>
              <w:adjustRightInd/>
              <w:spacing w:after="120"/>
              <w:textAlignment w:val="auto"/>
              <w:rPr>
                <w:rFonts w:cs="Arial"/>
                <w:b w:val="0"/>
              </w:rPr>
            </w:pPr>
            <w:r w:rsidRPr="00B52E3A">
              <w:rPr>
                <w:rFonts w:cs="Arial"/>
                <w:b w:val="0"/>
              </w:rPr>
              <w:t>Does the UL sharing from UE perspective need to be supported together with any DL sharing capabilities that are required the shared E-UTRA-NR FDD carrier case?</w:t>
            </w:r>
          </w:p>
          <w:p w14:paraId="78892FA4" w14:textId="77777777" w:rsidR="00B52E3A" w:rsidRPr="00B52E3A" w:rsidRDefault="00B52E3A" w:rsidP="00B52E3A">
            <w:pPr>
              <w:pStyle w:val="Header"/>
              <w:widowControl/>
              <w:numPr>
                <w:ilvl w:val="0"/>
                <w:numId w:val="40"/>
              </w:numPr>
              <w:tabs>
                <w:tab w:val="center" w:pos="4153"/>
                <w:tab w:val="right" w:pos="8306"/>
              </w:tabs>
              <w:overflowPunct/>
              <w:autoSpaceDE/>
              <w:autoSpaceDN/>
              <w:adjustRightInd/>
              <w:spacing w:after="120"/>
              <w:textAlignment w:val="auto"/>
              <w:rPr>
                <w:rFonts w:cs="Arial"/>
                <w:b w:val="0"/>
              </w:rPr>
            </w:pPr>
            <w:r w:rsidRPr="00B52E3A">
              <w:rPr>
                <w:rFonts w:cs="Arial"/>
                <w:b w:val="0"/>
              </w:rPr>
              <w:t>If the answer of previous question is “Yes”, RAN2 might discuss how the corresponding capability is handled to avoid any NBC changes and any information related to that decision would be useful to RAN2.</w:t>
            </w:r>
          </w:p>
          <w:p w14:paraId="41F59420" w14:textId="77777777" w:rsidR="00B52E3A" w:rsidRPr="00B52E3A" w:rsidRDefault="00B52E3A" w:rsidP="00B52E3A">
            <w:pPr>
              <w:pStyle w:val="Header"/>
              <w:widowControl/>
              <w:numPr>
                <w:ilvl w:val="0"/>
                <w:numId w:val="40"/>
              </w:numPr>
              <w:tabs>
                <w:tab w:val="center" w:pos="4153"/>
                <w:tab w:val="right" w:pos="8306"/>
              </w:tabs>
              <w:overflowPunct/>
              <w:autoSpaceDE/>
              <w:autoSpaceDN/>
              <w:adjustRightInd/>
              <w:spacing w:after="120"/>
              <w:textAlignment w:val="auto"/>
              <w:rPr>
                <w:rFonts w:cs="Arial"/>
                <w:b w:val="0"/>
              </w:rPr>
            </w:pPr>
            <w:r w:rsidRPr="00B52E3A">
              <w:rPr>
                <w:rFonts w:cs="Arial"/>
                <w:b w:val="0"/>
              </w:rPr>
              <w:t xml:space="preserve">How should RAN2 refer to RAN4 specification to indicate conditions when UE is required to support </w:t>
            </w:r>
            <w:r w:rsidRPr="00B52E3A">
              <w:rPr>
                <w:rFonts w:cs="Arial"/>
                <w:b w:val="0"/>
                <w:i/>
              </w:rPr>
              <w:t>ul-SwitchingTimeEUTRA-NR</w:t>
            </w:r>
            <w:r w:rsidRPr="00B52E3A">
              <w:rPr>
                <w:rFonts w:cs="Arial"/>
                <w:b w:val="0"/>
              </w:rPr>
              <w:t xml:space="preserve">? Specifically, does the </w:t>
            </w:r>
            <w:r w:rsidRPr="00B52E3A">
              <w:rPr>
                <w:rFonts w:cs="Arial"/>
                <w:b w:val="0"/>
                <w:i/>
              </w:rPr>
              <w:t>ul-SwitchingTimeEUTRA-NR</w:t>
            </w:r>
            <w:r w:rsidRPr="00B52E3A">
              <w:rPr>
                <w:rFonts w:cs="Arial"/>
                <w:b w:val="0"/>
              </w:rPr>
              <w:t xml:space="preserve"> apply to both TDM based E-UTRA-NR in UL sharing from UE perspective and intra-band contiguous scenario in adjacent channels when single UL transmission is allowed between E-UTRA and NR UL?</w:t>
            </w:r>
          </w:p>
          <w:p w14:paraId="3818B97F" w14:textId="09BAF99D" w:rsidR="00B52E3A" w:rsidRPr="00B52E3A" w:rsidRDefault="00B52E3A" w:rsidP="00C76A68">
            <w:pPr>
              <w:pStyle w:val="Header"/>
              <w:widowControl/>
              <w:numPr>
                <w:ilvl w:val="0"/>
                <w:numId w:val="40"/>
              </w:numPr>
              <w:tabs>
                <w:tab w:val="center" w:pos="4153"/>
                <w:tab w:val="right" w:pos="8306"/>
              </w:tabs>
              <w:overflowPunct/>
              <w:autoSpaceDE/>
              <w:autoSpaceDN/>
              <w:adjustRightInd/>
              <w:spacing w:after="120"/>
              <w:textAlignment w:val="auto"/>
            </w:pPr>
            <w:r w:rsidRPr="00B52E3A">
              <w:rPr>
                <w:rFonts w:cs="Arial"/>
                <w:b w:val="0"/>
              </w:rPr>
              <w:t xml:space="preserve">Is it mandatory for UE to report switching time type for an intra-band contiguous EN-DC band combination via the capability </w:t>
            </w:r>
            <w:r w:rsidRPr="00B52E3A">
              <w:rPr>
                <w:rFonts w:cs="Arial"/>
                <w:b w:val="0"/>
                <w:i/>
              </w:rPr>
              <w:t>ul-SwitchingTimeEUTRA-NR</w:t>
            </w:r>
            <w:r w:rsidRPr="00B52E3A">
              <w:rPr>
                <w:rFonts w:cs="Arial"/>
                <w:b w:val="0"/>
              </w:rPr>
              <w:t xml:space="preserve"> if UE requires single UL transmission for that band combination?</w:t>
            </w:r>
          </w:p>
        </w:tc>
      </w:tr>
    </w:tbl>
    <w:p w14:paraId="1E4E86FB" w14:textId="6DBE4810" w:rsidR="00B52E3A" w:rsidRDefault="00B52E3A" w:rsidP="009C00D3"/>
    <w:p w14:paraId="37DF6E79" w14:textId="30CC6A9F" w:rsidR="00B52E3A" w:rsidRDefault="00B52E3A" w:rsidP="009C00D3">
      <w:r>
        <w:t xml:space="preserve">In this contribution we discuss the RAN2 questions and provide </w:t>
      </w:r>
      <w:proofErr w:type="spellStart"/>
      <w:r>
        <w:t>answes</w:t>
      </w:r>
      <w:proofErr w:type="spellEnd"/>
      <w:r>
        <w:t xml:space="preserve"> from the RAN4 perspective. </w:t>
      </w:r>
    </w:p>
    <w:p w14:paraId="0E57E7E0" w14:textId="415ED33E" w:rsidR="0011091B" w:rsidRDefault="008861CC" w:rsidP="0011091B">
      <w:pPr>
        <w:pStyle w:val="Heading1"/>
        <w:rPr>
          <w:lang w:val="en-US"/>
        </w:rPr>
      </w:pPr>
      <w:r>
        <w:rPr>
          <w:lang w:val="en-US"/>
        </w:rPr>
        <w:t>Discussion</w:t>
      </w:r>
    </w:p>
    <w:p w14:paraId="44999799" w14:textId="3FD9792B" w:rsidR="001D32DB" w:rsidRPr="004100A9" w:rsidRDefault="004100A9" w:rsidP="004100A9">
      <w:r w:rsidRPr="004100A9">
        <w:t>The</w:t>
      </w:r>
      <w:r>
        <w:t xml:space="preserve"> latest </w:t>
      </w:r>
      <w:r w:rsidRPr="00B52E3A">
        <w:rPr>
          <w:lang w:val="en-US"/>
        </w:rPr>
        <w:t>RAN4 UE feature list for REL-15 NR</w:t>
      </w:r>
      <w:r>
        <w:rPr>
          <w:lang w:val="en-US"/>
        </w:rPr>
        <w:t xml:space="preserve"> in [2] contains the following UL carrier sharing related features. In the table we have highlighted the parts that </w:t>
      </w:r>
      <w:r w:rsidR="005604AE">
        <w:rPr>
          <w:lang w:val="en-US"/>
        </w:rPr>
        <w:t>are related to</w:t>
      </w:r>
      <w:r>
        <w:rPr>
          <w:lang w:val="en-US"/>
        </w:rPr>
        <w:t xml:space="preserve"> the applicability of</w:t>
      </w:r>
      <w:r w:rsidR="005604AE">
        <w:rPr>
          <w:lang w:val="en-US"/>
        </w:rPr>
        <w:t xml:space="preserve"> UL sharing related features.</w:t>
      </w:r>
    </w:p>
    <w:p w14:paraId="4D957EBD" w14:textId="77777777" w:rsidR="004100A9" w:rsidRPr="004100A9" w:rsidRDefault="004100A9" w:rsidP="004100A9">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
        <w:gridCol w:w="850"/>
        <w:gridCol w:w="1418"/>
        <w:gridCol w:w="850"/>
        <w:gridCol w:w="567"/>
        <w:gridCol w:w="709"/>
        <w:gridCol w:w="1418"/>
        <w:gridCol w:w="1417"/>
        <w:gridCol w:w="1411"/>
      </w:tblGrid>
      <w:tr w:rsidR="004100A9" w14:paraId="56CC4422" w14:textId="77777777" w:rsidTr="004100A9">
        <w:trPr>
          <w:trHeight w:val="1337"/>
          <w:jc w:val="center"/>
        </w:trPr>
        <w:tc>
          <w:tcPr>
            <w:tcW w:w="279"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E1DF581" w14:textId="0417CF24" w:rsidR="004100A9" w:rsidRDefault="004100A9">
            <w:pPr>
              <w:tabs>
                <w:tab w:val="left" w:pos="402"/>
              </w:tabs>
              <w:snapToGrid w:val="0"/>
              <w:spacing w:after="0"/>
              <w:rPr>
                <w:rFonts w:ascii="Arial" w:eastAsia="MS PGothic" w:hAnsi="Arial" w:cs="Arial"/>
                <w:color w:val="000000"/>
                <w:sz w:val="14"/>
                <w:szCs w:val="16"/>
              </w:rPr>
            </w:pPr>
            <w:r>
              <w:rPr>
                <w:rFonts w:ascii="Arial" w:eastAsia="MS PGothic" w:hAnsi="Arial" w:cs="Arial"/>
                <w:color w:val="000000"/>
                <w:sz w:val="14"/>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E602D27" w14:textId="77777777" w:rsidR="004100A9" w:rsidRDefault="004100A9">
            <w:pPr>
              <w:tabs>
                <w:tab w:val="left" w:pos="402"/>
              </w:tabs>
              <w:snapToGrid w:val="0"/>
              <w:spacing w:after="0"/>
              <w:rPr>
                <w:rFonts w:ascii="Arial" w:eastAsia="MS PGothic" w:hAnsi="Arial" w:cs="Arial"/>
                <w:color w:val="000000"/>
                <w:sz w:val="14"/>
                <w:szCs w:val="16"/>
              </w:rPr>
            </w:pPr>
            <w:r>
              <w:rPr>
                <w:rFonts w:ascii="Arial" w:eastAsia="MS PGothic" w:hAnsi="Arial" w:cs="Arial"/>
                <w:color w:val="000000"/>
                <w:sz w:val="14"/>
                <w:szCs w:val="16"/>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AB12275" w14:textId="77777777" w:rsidR="004100A9" w:rsidRDefault="004100A9">
            <w:pPr>
              <w:tabs>
                <w:tab w:val="left" w:pos="402"/>
              </w:tabs>
              <w:snapToGrid w:val="0"/>
              <w:spacing w:after="0"/>
              <w:rPr>
                <w:rFonts w:ascii="Arial" w:eastAsia="MS PGothic" w:hAnsi="Arial" w:cs="Arial"/>
                <w:color w:val="000000"/>
                <w:sz w:val="14"/>
                <w:szCs w:val="16"/>
              </w:rPr>
            </w:pPr>
            <w:r>
              <w:rPr>
                <w:rFonts w:ascii="Arial" w:eastAsia="MS PGothic" w:hAnsi="Arial" w:cs="Arial"/>
                <w:color w:val="000000"/>
                <w:sz w:val="14"/>
                <w:szCs w:val="16"/>
              </w:rPr>
              <w:t>Components</w:t>
            </w:r>
          </w:p>
        </w:tc>
        <w:tc>
          <w:tcPr>
            <w:tcW w:w="85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F30121B" w14:textId="77777777" w:rsidR="004100A9" w:rsidRDefault="004100A9">
            <w:pPr>
              <w:tabs>
                <w:tab w:val="left" w:pos="402"/>
              </w:tabs>
              <w:snapToGrid w:val="0"/>
              <w:spacing w:after="0"/>
              <w:rPr>
                <w:rFonts w:ascii="Arial" w:eastAsia="MS PGothic" w:hAnsi="Arial" w:cs="Arial"/>
                <w:color w:val="000000"/>
                <w:sz w:val="14"/>
                <w:szCs w:val="16"/>
              </w:rPr>
            </w:pPr>
            <w:r>
              <w:rPr>
                <w:rFonts w:ascii="Arial" w:eastAsia="MS PGothic" w:hAnsi="Arial" w:cs="Arial"/>
                <w:color w:val="000000"/>
                <w:sz w:val="14"/>
                <w:szCs w:val="16"/>
              </w:rPr>
              <w:t>Consequences if the feature</w:t>
            </w:r>
            <w:r>
              <w:rPr>
                <w:rFonts w:ascii="Arial" w:eastAsia="MS PGothic" w:hAnsi="Arial" w:cs="Arial"/>
                <w:color w:val="000000"/>
                <w:sz w:val="14"/>
                <w:szCs w:val="16"/>
              </w:rPr>
              <w:br/>
              <w:t xml:space="preserve"> is not supported by the UE</w:t>
            </w:r>
          </w:p>
        </w:tc>
        <w:tc>
          <w:tcPr>
            <w:tcW w:w="567"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2336BD4" w14:textId="77777777" w:rsidR="004100A9" w:rsidRDefault="004100A9">
            <w:pPr>
              <w:tabs>
                <w:tab w:val="left" w:pos="402"/>
              </w:tabs>
              <w:snapToGrid w:val="0"/>
              <w:spacing w:after="0"/>
              <w:rPr>
                <w:rFonts w:ascii="Arial" w:eastAsia="MS PGothic" w:hAnsi="Arial" w:cs="Arial"/>
                <w:color w:val="000000"/>
                <w:sz w:val="14"/>
                <w:szCs w:val="16"/>
              </w:rPr>
            </w:pPr>
            <w:r>
              <w:rPr>
                <w:rFonts w:ascii="Arial" w:eastAsia="MS PGothic" w:hAnsi="Arial" w:cs="Arial"/>
                <w:color w:val="000000"/>
                <w:sz w:val="14"/>
                <w:szCs w:val="16"/>
              </w:rPr>
              <w:t>Type (See R4-17121 19)</w:t>
            </w:r>
          </w:p>
        </w:tc>
        <w:tc>
          <w:tcPr>
            <w:tcW w:w="709"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2C77ABCA" w14:textId="77777777" w:rsidR="004100A9" w:rsidRDefault="004100A9">
            <w:pPr>
              <w:tabs>
                <w:tab w:val="left" w:pos="402"/>
              </w:tabs>
              <w:snapToGrid w:val="0"/>
              <w:spacing w:after="0"/>
              <w:rPr>
                <w:rFonts w:ascii="Arial" w:eastAsia="MS PGothic" w:hAnsi="Arial" w:cs="Arial"/>
                <w:color w:val="000000"/>
                <w:sz w:val="14"/>
                <w:szCs w:val="16"/>
              </w:rPr>
            </w:pPr>
            <w:r>
              <w:rPr>
                <w:rFonts w:ascii="Arial" w:eastAsia="MS PGothic" w:hAnsi="Arial" w:cs="Arial"/>
                <w:color w:val="000000"/>
                <w:sz w:val="14"/>
                <w:szCs w:val="16"/>
              </w:rPr>
              <w:t>Need of FR1/FR2 differentiation</w:t>
            </w:r>
          </w:p>
        </w:tc>
        <w:tc>
          <w:tcPr>
            <w:tcW w:w="141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3F35767" w14:textId="77777777" w:rsidR="004100A9" w:rsidRDefault="004100A9">
            <w:pPr>
              <w:tabs>
                <w:tab w:val="left" w:pos="402"/>
              </w:tabs>
              <w:snapToGrid w:val="0"/>
              <w:spacing w:after="0"/>
              <w:rPr>
                <w:rFonts w:ascii="Arial" w:eastAsia="MS PGothic" w:hAnsi="Arial" w:cs="Arial"/>
                <w:color w:val="000000"/>
                <w:sz w:val="14"/>
                <w:szCs w:val="16"/>
              </w:rPr>
            </w:pPr>
            <w:r>
              <w:rPr>
                <w:rFonts w:ascii="Arial" w:eastAsia="MS PGothic" w:hAnsi="Arial" w:cs="Arial"/>
                <w:color w:val="000000"/>
                <w:sz w:val="14"/>
                <w:szCs w:val="16"/>
              </w:rPr>
              <w:t>Remarks</w:t>
            </w:r>
          </w:p>
        </w:tc>
        <w:tc>
          <w:tcPr>
            <w:tcW w:w="1417" w:type="dxa"/>
            <w:tcBorders>
              <w:top w:val="single" w:sz="4" w:space="0" w:color="auto"/>
              <w:left w:val="single" w:sz="4" w:space="0" w:color="auto"/>
              <w:bottom w:val="single" w:sz="4" w:space="0" w:color="auto"/>
              <w:right w:val="single" w:sz="4" w:space="0" w:color="auto"/>
            </w:tcBorders>
            <w:shd w:val="clear" w:color="auto" w:fill="FF00FF"/>
            <w:vAlign w:val="center"/>
            <w:hideMark/>
          </w:tcPr>
          <w:p w14:paraId="01AB8795" w14:textId="77777777" w:rsidR="004100A9" w:rsidRDefault="004100A9">
            <w:pPr>
              <w:tabs>
                <w:tab w:val="left" w:pos="402"/>
              </w:tabs>
              <w:snapToGrid w:val="0"/>
              <w:spacing w:after="0"/>
              <w:rPr>
                <w:rFonts w:ascii="Arial" w:eastAsia="MS PGothic" w:hAnsi="Arial" w:cs="Arial"/>
                <w:color w:val="000000"/>
                <w:sz w:val="14"/>
                <w:szCs w:val="16"/>
              </w:rPr>
            </w:pPr>
            <w:r>
              <w:rPr>
                <w:rFonts w:ascii="Arial" w:eastAsia="MS PGothic" w:hAnsi="Arial" w:cs="Arial"/>
                <w:color w:val="000000"/>
                <w:sz w:val="14"/>
                <w:szCs w:val="16"/>
              </w:rPr>
              <w:t>Recommendation for TSG-RAN</w:t>
            </w:r>
          </w:p>
        </w:tc>
        <w:tc>
          <w:tcPr>
            <w:tcW w:w="1411"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2C7D1CF2" w14:textId="77777777" w:rsidR="004100A9" w:rsidRDefault="004100A9">
            <w:pPr>
              <w:tabs>
                <w:tab w:val="left" w:pos="402"/>
              </w:tabs>
              <w:snapToGrid w:val="0"/>
              <w:spacing w:after="0"/>
              <w:rPr>
                <w:rFonts w:ascii="Arial" w:eastAsia="MS PGothic" w:hAnsi="Arial" w:cs="Arial"/>
                <w:color w:val="000000"/>
                <w:sz w:val="14"/>
                <w:szCs w:val="16"/>
              </w:rPr>
            </w:pPr>
            <w:r>
              <w:rPr>
                <w:rFonts w:ascii="Arial" w:eastAsia="MS PGothic" w:hAnsi="Arial" w:cs="Arial"/>
                <w:color w:val="000000"/>
                <w:sz w:val="14"/>
                <w:szCs w:val="16"/>
              </w:rPr>
              <w:t>TSG-RAN decision</w:t>
            </w:r>
          </w:p>
        </w:tc>
      </w:tr>
      <w:tr w:rsidR="004100A9" w14:paraId="117AA050" w14:textId="77777777" w:rsidTr="004100A9">
        <w:trPr>
          <w:trHeight w:val="3521"/>
          <w:jc w:val="center"/>
        </w:trPr>
        <w:tc>
          <w:tcPr>
            <w:tcW w:w="279" w:type="dxa"/>
            <w:tcBorders>
              <w:top w:val="single" w:sz="4" w:space="0" w:color="auto"/>
              <w:left w:val="single" w:sz="4" w:space="0" w:color="auto"/>
              <w:bottom w:val="single" w:sz="4" w:space="0" w:color="auto"/>
              <w:right w:val="single" w:sz="4" w:space="0" w:color="auto"/>
            </w:tcBorders>
            <w:vAlign w:val="center"/>
            <w:hideMark/>
          </w:tcPr>
          <w:p w14:paraId="63C250AF"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lastRenderedPageBreak/>
              <w:t>1-10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E24FD"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Support of EN-DC with LTE-NR coexistence in UL sharing from UE perspective</w:t>
            </w:r>
          </w:p>
        </w:tc>
        <w:tc>
          <w:tcPr>
            <w:tcW w:w="1418" w:type="dxa"/>
            <w:tcBorders>
              <w:top w:val="single" w:sz="4" w:space="0" w:color="auto"/>
              <w:left w:val="single" w:sz="4" w:space="0" w:color="auto"/>
              <w:bottom w:val="single" w:sz="4" w:space="0" w:color="auto"/>
              <w:right w:val="single" w:sz="4" w:space="0" w:color="auto"/>
            </w:tcBorders>
            <w:vAlign w:val="center"/>
          </w:tcPr>
          <w:p w14:paraId="3DFDC877"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1) LTE and NR UL Transmission in the shared carrier via TDM only</w:t>
            </w:r>
          </w:p>
          <w:p w14:paraId="4C004CCE" w14:textId="77777777" w:rsidR="004100A9" w:rsidRDefault="004100A9">
            <w:pPr>
              <w:snapToGrid w:val="0"/>
              <w:spacing w:after="0"/>
              <w:rPr>
                <w:rFonts w:ascii="Arial" w:eastAsia="MS PGothic" w:hAnsi="Arial" w:cs="Arial"/>
                <w:color w:val="000000"/>
                <w:sz w:val="14"/>
                <w:szCs w:val="16"/>
              </w:rPr>
            </w:pPr>
          </w:p>
          <w:p w14:paraId="428F50EE"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2) LTE and NR UL Transmission in the shared carrier via FDM only</w:t>
            </w:r>
          </w:p>
          <w:p w14:paraId="0F2088FD" w14:textId="77777777" w:rsidR="004100A9" w:rsidRDefault="004100A9">
            <w:pPr>
              <w:snapToGrid w:val="0"/>
              <w:spacing w:after="0"/>
              <w:rPr>
                <w:rFonts w:ascii="Arial" w:eastAsia="MS PGothic" w:hAnsi="Arial" w:cs="Arial"/>
                <w:color w:val="000000"/>
                <w:sz w:val="14"/>
                <w:szCs w:val="16"/>
              </w:rPr>
            </w:pPr>
          </w:p>
          <w:p w14:paraId="6E34132C"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3) LTE and NR UL transmission in the shared carrier via FDM or TDM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F1396"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UE does not support of EN-DC with LTE-NR coexistence in UL sharing from UE perspective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FF2959" w14:textId="77777777" w:rsidR="004100A9" w:rsidRPr="004100A9" w:rsidRDefault="004100A9">
            <w:pPr>
              <w:snapToGrid w:val="0"/>
              <w:spacing w:after="0"/>
              <w:rPr>
                <w:rFonts w:ascii="Arial" w:eastAsia="MS PGothic" w:hAnsi="Arial" w:cs="Arial"/>
                <w:strike/>
                <w:color w:val="000000"/>
                <w:sz w:val="14"/>
                <w:szCs w:val="16"/>
                <w:highlight w:val="yellow"/>
              </w:rPr>
            </w:pPr>
            <w:r w:rsidRPr="004100A9">
              <w:rPr>
                <w:rFonts w:ascii="Arial" w:eastAsia="MS PGothic" w:hAnsi="Arial" w:cs="Arial"/>
                <w:color w:val="000000"/>
                <w:sz w:val="14"/>
                <w:szCs w:val="16"/>
                <w:highlight w:val="yellow"/>
              </w:rPr>
              <w:t>Type 3 (per band combination)</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46F9DDA" w14:textId="77777777" w:rsidR="004100A9" w:rsidRPr="004100A9" w:rsidRDefault="004100A9">
            <w:pPr>
              <w:snapToGrid w:val="0"/>
              <w:spacing w:after="0"/>
              <w:rPr>
                <w:rFonts w:ascii="Arial" w:eastAsia="MS PGothic" w:hAnsi="Arial" w:cs="Arial"/>
                <w:color w:val="000000"/>
                <w:sz w:val="14"/>
                <w:szCs w:val="16"/>
                <w:highlight w:val="yellow"/>
              </w:rPr>
            </w:pPr>
            <w:r w:rsidRPr="004100A9">
              <w:rPr>
                <w:rFonts w:ascii="Arial" w:eastAsia="MS PGothic" w:hAnsi="Arial" w:cs="Arial"/>
                <w:color w:val="000000"/>
                <w:sz w:val="14"/>
                <w:szCs w:val="16"/>
                <w:highlight w:val="yellow"/>
              </w:rPr>
              <w:t>Applicable only to FR1</w:t>
            </w:r>
          </w:p>
        </w:tc>
        <w:tc>
          <w:tcPr>
            <w:tcW w:w="1418" w:type="dxa"/>
            <w:tcBorders>
              <w:top w:val="single" w:sz="4" w:space="0" w:color="auto"/>
              <w:left w:val="single" w:sz="4" w:space="0" w:color="auto"/>
              <w:bottom w:val="single" w:sz="4" w:space="0" w:color="auto"/>
              <w:right w:val="single" w:sz="4" w:space="0" w:color="auto"/>
            </w:tcBorders>
            <w:vAlign w:val="center"/>
          </w:tcPr>
          <w:p w14:paraId="03EBE968" w14:textId="77777777" w:rsidR="004100A9" w:rsidRDefault="004100A9">
            <w:pPr>
              <w:snapToGrid w:val="0"/>
              <w:spacing w:after="0"/>
              <w:rPr>
                <w:rFonts w:ascii="Arial" w:eastAsia="MS PGothic" w:hAnsi="Arial" w:cs="Arial"/>
                <w:color w:val="000000"/>
                <w:sz w:val="14"/>
                <w:szCs w:val="16"/>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F60EAE"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Optional</w:t>
            </w:r>
          </w:p>
        </w:tc>
        <w:tc>
          <w:tcPr>
            <w:tcW w:w="1411" w:type="dxa"/>
            <w:tcBorders>
              <w:top w:val="single" w:sz="4" w:space="0" w:color="auto"/>
              <w:left w:val="single" w:sz="4" w:space="0" w:color="auto"/>
              <w:bottom w:val="single" w:sz="4" w:space="0" w:color="auto"/>
              <w:right w:val="single" w:sz="4" w:space="0" w:color="auto"/>
            </w:tcBorders>
            <w:noWrap/>
            <w:vAlign w:val="center"/>
            <w:hideMark/>
          </w:tcPr>
          <w:p w14:paraId="5D9E0034"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Optional</w:t>
            </w:r>
          </w:p>
        </w:tc>
      </w:tr>
      <w:tr w:rsidR="004100A9" w14:paraId="76FAAC50" w14:textId="77777777" w:rsidTr="004100A9">
        <w:trPr>
          <w:trHeight w:val="622"/>
          <w:jc w:val="center"/>
        </w:trPr>
        <w:tc>
          <w:tcPr>
            <w:tcW w:w="279" w:type="dxa"/>
            <w:tcBorders>
              <w:top w:val="single" w:sz="4" w:space="0" w:color="auto"/>
              <w:left w:val="single" w:sz="4" w:space="0" w:color="auto"/>
              <w:bottom w:val="single" w:sz="4" w:space="0" w:color="auto"/>
              <w:right w:val="single" w:sz="4" w:space="0" w:color="auto"/>
            </w:tcBorders>
            <w:vAlign w:val="center"/>
            <w:hideMark/>
          </w:tcPr>
          <w:p w14:paraId="2864D33D"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1-11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088B26"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Switching time between LTE UL and NR UL for EN-DC with LTE-NR coexistence in UL sharing from UE perspective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F0F4A"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Support of switching type between LTE UL and NR UL for EN-DC with LTE-NR coexistence in UL sharing from UE perspective. </w:t>
            </w:r>
          </w:p>
          <w:p w14:paraId="338A6599"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Type 1: &lt;0.5us</w:t>
            </w:r>
          </w:p>
          <w:p w14:paraId="5F685EA5"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Type 2: &lt;20us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C42FF5"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UE does not support UL subcarrier alignment between LTE and NR for EN-DC with LTE-NR coexistence in UL</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70ABF0" w14:textId="77777777" w:rsidR="004100A9" w:rsidRPr="004100A9" w:rsidRDefault="004100A9">
            <w:pPr>
              <w:snapToGrid w:val="0"/>
              <w:spacing w:after="0"/>
              <w:rPr>
                <w:rFonts w:ascii="Arial" w:eastAsia="MS PGothic" w:hAnsi="Arial" w:cs="Arial"/>
                <w:strike/>
                <w:color w:val="000000"/>
                <w:sz w:val="14"/>
                <w:szCs w:val="16"/>
                <w:highlight w:val="yellow"/>
              </w:rPr>
            </w:pPr>
            <w:r w:rsidRPr="004100A9">
              <w:rPr>
                <w:rFonts w:ascii="Arial" w:eastAsia="MS PGothic" w:hAnsi="Arial" w:cs="Arial"/>
                <w:color w:val="000000"/>
                <w:sz w:val="14"/>
                <w:szCs w:val="16"/>
                <w:highlight w:val="yellow"/>
              </w:rPr>
              <w:t>Type 3 (per band combination)</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B1855A9" w14:textId="77777777" w:rsidR="004100A9" w:rsidRPr="004100A9" w:rsidRDefault="004100A9">
            <w:pPr>
              <w:snapToGrid w:val="0"/>
              <w:spacing w:after="0"/>
              <w:rPr>
                <w:rFonts w:ascii="Arial" w:eastAsia="MS PGothic" w:hAnsi="Arial" w:cs="Arial"/>
                <w:color w:val="000000"/>
                <w:sz w:val="14"/>
                <w:szCs w:val="16"/>
                <w:highlight w:val="yellow"/>
              </w:rPr>
            </w:pPr>
            <w:r w:rsidRPr="004100A9">
              <w:rPr>
                <w:rFonts w:ascii="Arial" w:eastAsia="MS PGothic" w:hAnsi="Arial" w:cs="Arial"/>
                <w:color w:val="000000"/>
                <w:sz w:val="14"/>
                <w:szCs w:val="16"/>
                <w:highlight w:val="yellow"/>
              </w:rPr>
              <w:t>Applicable only to FR1</w:t>
            </w:r>
          </w:p>
        </w:tc>
        <w:tc>
          <w:tcPr>
            <w:tcW w:w="1418" w:type="dxa"/>
            <w:tcBorders>
              <w:top w:val="single" w:sz="4" w:space="0" w:color="auto"/>
              <w:left w:val="single" w:sz="4" w:space="0" w:color="auto"/>
              <w:bottom w:val="single" w:sz="4" w:space="0" w:color="auto"/>
              <w:right w:val="single" w:sz="4" w:space="0" w:color="auto"/>
            </w:tcBorders>
            <w:vAlign w:val="center"/>
          </w:tcPr>
          <w:p w14:paraId="4910D5E5"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This feature is the </w:t>
            </w:r>
            <w:r w:rsidRPr="004100A9">
              <w:rPr>
                <w:rFonts w:ascii="Arial" w:eastAsia="MS PGothic" w:hAnsi="Arial" w:cs="Arial"/>
                <w:color w:val="000000"/>
                <w:sz w:val="14"/>
                <w:szCs w:val="16"/>
                <w:highlight w:val="yellow"/>
              </w:rPr>
              <w:t>switching time between LTE UL and NR UL in the same carrier</w:t>
            </w:r>
          </w:p>
          <w:p w14:paraId="25EA7DDF" w14:textId="77777777" w:rsidR="004100A9" w:rsidRDefault="004100A9">
            <w:pPr>
              <w:snapToGrid w:val="0"/>
              <w:spacing w:after="0"/>
              <w:rPr>
                <w:rFonts w:ascii="Arial" w:eastAsia="MS PGothic" w:hAnsi="Arial" w:cs="Arial"/>
                <w:color w:val="000000"/>
                <w:sz w:val="14"/>
                <w:szCs w:val="16"/>
              </w:rPr>
            </w:pPr>
          </w:p>
          <w:p w14:paraId="2FEB9906"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Per band combination signalling (Type 3)</w:t>
            </w:r>
          </w:p>
          <w:p w14:paraId="7C5A39D1" w14:textId="77777777" w:rsidR="004100A9" w:rsidRDefault="004100A9">
            <w:pPr>
              <w:snapToGrid w:val="0"/>
              <w:spacing w:after="0"/>
              <w:rPr>
                <w:rFonts w:ascii="Arial" w:eastAsia="MS PGothic" w:hAnsi="Arial" w:cs="Arial"/>
                <w:color w:val="000000"/>
                <w:sz w:val="14"/>
                <w:szCs w:val="16"/>
              </w:rPr>
            </w:pPr>
          </w:p>
          <w:p w14:paraId="2C69016F"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UE Capability signalling elements. </w:t>
            </w:r>
            <w:r>
              <w:rPr>
                <w:rFonts w:ascii="Arial" w:eastAsia="MS PGothic" w:hAnsi="Arial" w:cs="Arial"/>
                <w:color w:val="000000"/>
                <w:sz w:val="14"/>
                <w:szCs w:val="16"/>
              </w:rPr>
              <w:br/>
              <w:t>1: &lt;0.5us switching type.</w:t>
            </w:r>
          </w:p>
          <w:p w14:paraId="5368D890"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2: &lt;20us switching type. </w:t>
            </w:r>
          </w:p>
          <w:p w14:paraId="7848F2F6" w14:textId="77777777" w:rsidR="004100A9" w:rsidRDefault="004100A9">
            <w:pPr>
              <w:snapToGrid w:val="0"/>
              <w:spacing w:after="0"/>
              <w:rPr>
                <w:rFonts w:ascii="Arial" w:eastAsia="MS PGothic" w:hAnsi="Arial" w:cs="Arial"/>
                <w:color w:val="000000"/>
                <w:sz w:val="14"/>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3C1DC7E0" w14:textId="77777777" w:rsidR="004100A9" w:rsidRDefault="004100A9">
            <w:pPr>
              <w:snapToGrid w:val="0"/>
              <w:spacing w:after="0"/>
              <w:rPr>
                <w:rFonts w:ascii="Arial" w:eastAsia="MS PGothic" w:hAnsi="Arial" w:cs="Arial"/>
                <w:color w:val="000000"/>
                <w:sz w:val="14"/>
                <w:szCs w:val="16"/>
                <w:lang w:eastAsia="ja-JP"/>
              </w:rPr>
            </w:pPr>
          </w:p>
          <w:p w14:paraId="5D89A4E7" w14:textId="77777777" w:rsidR="004100A9" w:rsidRDefault="004100A9">
            <w:pPr>
              <w:snapToGrid w:val="0"/>
              <w:spacing w:after="0"/>
              <w:rPr>
                <w:rFonts w:ascii="Arial" w:eastAsia="MS PGothic" w:hAnsi="Arial" w:cs="Arial"/>
                <w:color w:val="000000"/>
                <w:sz w:val="14"/>
                <w:szCs w:val="16"/>
                <w:lang w:eastAsia="ja-JP"/>
              </w:rPr>
            </w:pPr>
          </w:p>
        </w:tc>
        <w:tc>
          <w:tcPr>
            <w:tcW w:w="1411" w:type="dxa"/>
            <w:tcBorders>
              <w:top w:val="single" w:sz="4" w:space="0" w:color="auto"/>
              <w:left w:val="single" w:sz="4" w:space="0" w:color="auto"/>
              <w:bottom w:val="single" w:sz="4" w:space="0" w:color="auto"/>
              <w:right w:val="single" w:sz="4" w:space="0" w:color="auto"/>
            </w:tcBorders>
            <w:noWrap/>
            <w:vAlign w:val="center"/>
            <w:hideMark/>
          </w:tcPr>
          <w:p w14:paraId="04882B88"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lang w:eastAsia="ja-JP"/>
              </w:rPr>
              <w:t>Mandatory to report switching time type 1 or type 2 if UE reports its capability in 1-10 as 1) LTE and NR UL Transmission in the shared carrier via TDM only, or 3) LTE and NR UL transmission in the shared carrier via FDM or TDM</w:t>
            </w:r>
          </w:p>
        </w:tc>
      </w:tr>
      <w:tr w:rsidR="004100A9" w14:paraId="5CA66B1D" w14:textId="77777777" w:rsidTr="004100A9">
        <w:trPr>
          <w:trHeight w:val="622"/>
          <w:jc w:val="center"/>
        </w:trPr>
        <w:tc>
          <w:tcPr>
            <w:tcW w:w="279" w:type="dxa"/>
            <w:tcBorders>
              <w:top w:val="single" w:sz="4" w:space="0" w:color="auto"/>
              <w:left w:val="single" w:sz="4" w:space="0" w:color="auto"/>
              <w:bottom w:val="single" w:sz="4" w:space="0" w:color="auto"/>
              <w:right w:val="single" w:sz="4" w:space="0" w:color="auto"/>
            </w:tcBorders>
            <w:vAlign w:val="center"/>
            <w:hideMark/>
          </w:tcPr>
          <w:p w14:paraId="09B163D7"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1-12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4FDC6F"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7.5kHz UL raster shift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88A69"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1) 7.5kHz UL raster shift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514117"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UE does not support 7.5kHz UL raster shift</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3AB69E"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N/A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CE46952"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No need</w:t>
            </w:r>
          </w:p>
        </w:tc>
        <w:tc>
          <w:tcPr>
            <w:tcW w:w="1418" w:type="dxa"/>
            <w:tcBorders>
              <w:top w:val="single" w:sz="4" w:space="0" w:color="auto"/>
              <w:left w:val="single" w:sz="4" w:space="0" w:color="auto"/>
              <w:bottom w:val="single" w:sz="4" w:space="0" w:color="auto"/>
              <w:right w:val="single" w:sz="4" w:space="0" w:color="auto"/>
            </w:tcBorders>
            <w:vAlign w:val="center"/>
          </w:tcPr>
          <w:p w14:paraId="76375B73" w14:textId="77777777" w:rsidR="004100A9" w:rsidRDefault="004100A9">
            <w:pPr>
              <w:snapToGrid w:val="0"/>
              <w:spacing w:after="0"/>
              <w:rPr>
                <w:rFonts w:ascii="Arial" w:eastAsia="MS PGothic" w:hAnsi="Arial" w:cs="Arial"/>
                <w:color w:val="000000"/>
                <w:sz w:val="14"/>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06F14CCC"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Mandatory in the SUL bands with uplink sharing either from UE perspective or from network perspective</w:t>
            </w:r>
          </w:p>
          <w:p w14:paraId="721BD751" w14:textId="77777777" w:rsidR="004100A9" w:rsidRDefault="004100A9">
            <w:pPr>
              <w:snapToGrid w:val="0"/>
              <w:spacing w:after="0"/>
              <w:rPr>
                <w:rFonts w:ascii="Arial" w:eastAsia="MS PGothic" w:hAnsi="Arial" w:cs="Arial"/>
                <w:color w:val="000000"/>
                <w:sz w:val="14"/>
                <w:szCs w:val="16"/>
              </w:rPr>
            </w:pPr>
          </w:p>
          <w:p w14:paraId="31203AE2"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7.5KHz raster shift as mandatory without capability signalling. 7.5kHz UL raster shift is mandatory in </w:t>
            </w:r>
            <w:r w:rsidRPr="004100A9">
              <w:rPr>
                <w:rFonts w:ascii="Arial" w:eastAsia="MS PGothic" w:hAnsi="Arial" w:cs="Arial"/>
                <w:color w:val="000000"/>
                <w:sz w:val="14"/>
                <w:szCs w:val="16"/>
                <w:highlight w:val="yellow"/>
              </w:rPr>
              <w:t>Bands n1, n2, n3, n5, n7, n8, n20, n28, n66</w:t>
            </w:r>
            <w:r>
              <w:rPr>
                <w:rFonts w:ascii="Arial" w:eastAsia="MS PGothic" w:hAnsi="Arial" w:cs="Arial"/>
                <w:color w:val="000000"/>
                <w:sz w:val="14"/>
                <w:szCs w:val="16"/>
              </w:rPr>
              <w:t xml:space="preserve">. RAN4 can revisit the above bands in the future release. 7.5KHz raster shift is not mandatory for other LTE </w:t>
            </w:r>
            <w:proofErr w:type="spellStart"/>
            <w:r>
              <w:rPr>
                <w:rFonts w:ascii="Arial" w:eastAsia="MS PGothic" w:hAnsi="Arial" w:cs="Arial"/>
                <w:color w:val="000000"/>
                <w:sz w:val="14"/>
                <w:szCs w:val="16"/>
              </w:rPr>
              <w:t>refarming</w:t>
            </w:r>
            <w:proofErr w:type="spellEnd"/>
            <w:r>
              <w:rPr>
                <w:rFonts w:ascii="Arial" w:eastAsia="MS PGothic" w:hAnsi="Arial" w:cs="Arial"/>
                <w:color w:val="000000"/>
                <w:sz w:val="14"/>
                <w:szCs w:val="16"/>
              </w:rPr>
              <w:t xml:space="preserve"> band except the bands which were agreed to support 7.5kHz UL raster shift as mandatory</w:t>
            </w:r>
          </w:p>
          <w:p w14:paraId="3C7FBEB4" w14:textId="77777777" w:rsidR="004100A9" w:rsidRDefault="004100A9">
            <w:pPr>
              <w:snapToGrid w:val="0"/>
              <w:spacing w:after="0"/>
              <w:rPr>
                <w:rFonts w:ascii="Arial" w:eastAsia="MS PGothic" w:hAnsi="Arial" w:cs="Arial"/>
                <w:color w:val="000000"/>
                <w:sz w:val="14"/>
                <w:szCs w:val="16"/>
              </w:rPr>
            </w:pPr>
          </w:p>
          <w:p w14:paraId="0BC3C7A0" w14:textId="77777777" w:rsidR="004100A9" w:rsidRDefault="004100A9">
            <w:pPr>
              <w:snapToGrid w:val="0"/>
              <w:spacing w:after="0"/>
              <w:rPr>
                <w:rFonts w:ascii="Arial" w:eastAsia="MS PGothic" w:hAnsi="Arial" w:cs="Arial"/>
                <w:color w:val="000000"/>
                <w:sz w:val="14"/>
                <w:szCs w:val="16"/>
              </w:rPr>
            </w:pPr>
          </w:p>
        </w:tc>
        <w:tc>
          <w:tcPr>
            <w:tcW w:w="1411" w:type="dxa"/>
            <w:tcBorders>
              <w:top w:val="single" w:sz="4" w:space="0" w:color="auto"/>
              <w:left w:val="single" w:sz="4" w:space="0" w:color="auto"/>
              <w:bottom w:val="single" w:sz="4" w:space="0" w:color="auto"/>
              <w:right w:val="single" w:sz="4" w:space="0" w:color="auto"/>
            </w:tcBorders>
            <w:noWrap/>
            <w:vAlign w:val="center"/>
          </w:tcPr>
          <w:p w14:paraId="70CDFC7F"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Mandatory in the SUL bands with uplink sharing either from UE perspective or from network perspective</w:t>
            </w:r>
          </w:p>
          <w:p w14:paraId="295C76E5" w14:textId="77777777" w:rsidR="004100A9" w:rsidRDefault="004100A9">
            <w:pPr>
              <w:snapToGrid w:val="0"/>
              <w:spacing w:after="0"/>
              <w:rPr>
                <w:rFonts w:ascii="Arial" w:eastAsia="MS PGothic" w:hAnsi="Arial" w:cs="Arial"/>
                <w:color w:val="000000"/>
                <w:sz w:val="14"/>
                <w:szCs w:val="16"/>
              </w:rPr>
            </w:pPr>
          </w:p>
          <w:p w14:paraId="5B49F240" w14:textId="77777777" w:rsidR="004100A9" w:rsidRDefault="004100A9">
            <w:pPr>
              <w:snapToGrid w:val="0"/>
              <w:spacing w:after="0"/>
              <w:rPr>
                <w:rFonts w:ascii="Arial" w:eastAsia="MS PGothic" w:hAnsi="Arial" w:cs="Arial"/>
                <w:color w:val="000000"/>
                <w:sz w:val="14"/>
                <w:szCs w:val="16"/>
              </w:rPr>
            </w:pPr>
            <w:r>
              <w:rPr>
                <w:rFonts w:ascii="Arial" w:eastAsia="MS PGothic" w:hAnsi="Arial" w:cs="Arial"/>
                <w:color w:val="000000"/>
                <w:sz w:val="14"/>
                <w:szCs w:val="16"/>
              </w:rPr>
              <w:t xml:space="preserve">7.5KHz raster shift as mandatory without capability signalling. </w:t>
            </w:r>
            <w:r w:rsidRPr="004100A9">
              <w:rPr>
                <w:rFonts w:ascii="Arial" w:eastAsia="MS PGothic" w:hAnsi="Arial" w:cs="Arial"/>
                <w:color w:val="000000"/>
                <w:sz w:val="14"/>
                <w:szCs w:val="16"/>
                <w:highlight w:val="yellow"/>
              </w:rPr>
              <w:t>7.5kHz UL raster shift is mandatory in the uplink of all FDD bands defined in Table 5.2-1 of TS38.101-1</w:t>
            </w:r>
            <w:r>
              <w:rPr>
                <w:rFonts w:ascii="Arial" w:eastAsia="MS PGothic" w:hAnsi="Arial" w:cs="Arial"/>
                <w:color w:val="000000"/>
                <w:sz w:val="14"/>
                <w:szCs w:val="16"/>
              </w:rPr>
              <w:t xml:space="preserve">. RAN4 can revisit the above bands in the future release. 7.5KHz raster shift is not mandatory for other LTE </w:t>
            </w:r>
            <w:proofErr w:type="spellStart"/>
            <w:r>
              <w:rPr>
                <w:rFonts w:ascii="Arial" w:eastAsia="MS PGothic" w:hAnsi="Arial" w:cs="Arial"/>
                <w:color w:val="000000"/>
                <w:sz w:val="14"/>
                <w:szCs w:val="16"/>
              </w:rPr>
              <w:t>refarming</w:t>
            </w:r>
            <w:proofErr w:type="spellEnd"/>
            <w:r>
              <w:rPr>
                <w:rFonts w:ascii="Arial" w:eastAsia="MS PGothic" w:hAnsi="Arial" w:cs="Arial"/>
                <w:color w:val="000000"/>
                <w:sz w:val="14"/>
                <w:szCs w:val="16"/>
              </w:rPr>
              <w:t xml:space="preserve"> band except the bands which were agreed to support 7.5kHz UL raster shift as mandatory</w:t>
            </w:r>
          </w:p>
          <w:p w14:paraId="3EDF70E5" w14:textId="77777777" w:rsidR="004100A9" w:rsidRDefault="004100A9">
            <w:pPr>
              <w:snapToGrid w:val="0"/>
              <w:spacing w:after="0"/>
              <w:rPr>
                <w:rFonts w:ascii="Arial" w:eastAsia="MS PGothic" w:hAnsi="Arial" w:cs="Arial"/>
                <w:color w:val="000000"/>
                <w:sz w:val="14"/>
                <w:szCs w:val="16"/>
              </w:rPr>
            </w:pPr>
          </w:p>
          <w:p w14:paraId="1CFACD65" w14:textId="77777777" w:rsidR="004100A9" w:rsidRDefault="004100A9">
            <w:pPr>
              <w:snapToGrid w:val="0"/>
              <w:spacing w:after="0"/>
              <w:rPr>
                <w:rFonts w:ascii="Arial" w:eastAsia="MS PGothic" w:hAnsi="Arial" w:cs="Arial"/>
                <w:color w:val="000000"/>
                <w:sz w:val="14"/>
                <w:szCs w:val="16"/>
              </w:rPr>
            </w:pPr>
          </w:p>
        </w:tc>
      </w:tr>
    </w:tbl>
    <w:p w14:paraId="2CB13B70" w14:textId="26421054" w:rsidR="005E65B8" w:rsidRPr="005E65B8" w:rsidRDefault="005E65B8" w:rsidP="00552705">
      <w:pPr>
        <w:rPr>
          <w:lang w:val="en-US"/>
        </w:rPr>
      </w:pPr>
    </w:p>
    <w:p w14:paraId="4F793BC9" w14:textId="39117FF2" w:rsidR="005E65B8" w:rsidRDefault="005604AE" w:rsidP="005604AE">
      <w:pPr>
        <w:tabs>
          <w:tab w:val="num" w:pos="720"/>
        </w:tabs>
        <w:rPr>
          <w:lang w:val="en-US"/>
        </w:rPr>
      </w:pPr>
      <w:r>
        <w:rPr>
          <w:lang w:val="en-US"/>
        </w:rPr>
        <w:t>The RAN4 UE feature list clear</w:t>
      </w:r>
      <w:r w:rsidR="0069469A">
        <w:rPr>
          <w:lang w:val="en-US"/>
        </w:rPr>
        <w:t>l</w:t>
      </w:r>
      <w:r>
        <w:rPr>
          <w:lang w:val="en-US"/>
        </w:rPr>
        <w:t>y show</w:t>
      </w:r>
      <w:r w:rsidR="0069469A">
        <w:rPr>
          <w:lang w:val="en-US"/>
        </w:rPr>
        <w:t>s</w:t>
      </w:r>
      <w:r>
        <w:rPr>
          <w:lang w:val="en-US"/>
        </w:rPr>
        <w:t xml:space="preserve"> that RAN4 has decided that UL sharing including UL sharing from the UE perspective is not only defined for SUL bands but also for FDD bands. </w:t>
      </w:r>
    </w:p>
    <w:p w14:paraId="40B365D4" w14:textId="47CBBC8B" w:rsidR="005604AE" w:rsidRDefault="00486E8F" w:rsidP="00D86BC4">
      <w:pPr>
        <w:tabs>
          <w:tab w:val="num" w:pos="720"/>
        </w:tabs>
        <w:rPr>
          <w:lang w:eastAsia="fi-FI"/>
        </w:rPr>
      </w:pPr>
      <w:r>
        <w:rPr>
          <w:lang w:val="en-US"/>
        </w:rPr>
        <w:t xml:space="preserve">For DL sharing RAN2 indicated UE capabilities, which could be related for DL. However, </w:t>
      </w:r>
      <w:r w:rsidR="005604AE">
        <w:rPr>
          <w:lang w:eastAsia="fi-FI"/>
        </w:rPr>
        <w:t xml:space="preserve">RAN2 did not include the </w:t>
      </w:r>
      <w:proofErr w:type="spellStart"/>
      <w:r w:rsidR="005604AE">
        <w:rPr>
          <w:i/>
          <w:lang w:eastAsia="fi-FI"/>
        </w:rPr>
        <w:t>additionalDMRS</w:t>
      </w:r>
      <w:proofErr w:type="spellEnd"/>
      <w:r w:rsidR="005604AE">
        <w:rPr>
          <w:i/>
          <w:lang w:eastAsia="fi-FI"/>
        </w:rPr>
        <w:t xml:space="preserve">-DL-Alt </w:t>
      </w:r>
      <w:r w:rsidR="005604AE">
        <w:rPr>
          <w:lang w:eastAsia="fi-FI"/>
        </w:rPr>
        <w:t xml:space="preserve">UE capability that was introduced for downlink sharing purposes in addition to the </w:t>
      </w:r>
      <w:proofErr w:type="spellStart"/>
      <w:r w:rsidR="005604AE">
        <w:rPr>
          <w:i/>
          <w:lang w:eastAsia="fi-FI"/>
        </w:rPr>
        <w:t>rateMatchingLTE</w:t>
      </w:r>
      <w:proofErr w:type="spellEnd"/>
      <w:r w:rsidR="005604AE">
        <w:rPr>
          <w:i/>
          <w:lang w:eastAsia="fi-FI"/>
        </w:rPr>
        <w:t>-CRS</w:t>
      </w:r>
      <w:r w:rsidR="005604AE">
        <w:rPr>
          <w:lang w:eastAsia="fi-FI"/>
        </w:rPr>
        <w:t xml:space="preserve"> to allow using the second DMRS symbol on a shared carrier</w:t>
      </w:r>
      <w:r w:rsidR="0069469A">
        <w:rPr>
          <w:lang w:eastAsia="fi-FI"/>
        </w:rPr>
        <w:t>.</w:t>
      </w:r>
      <w:r w:rsidR="005604AE">
        <w:rPr>
          <w:lang w:eastAsia="fi-FI"/>
        </w:rPr>
        <w:t xml:space="preserve"> </w:t>
      </w:r>
      <w:r w:rsidR="0069469A">
        <w:rPr>
          <w:lang w:eastAsia="fi-FI"/>
        </w:rPr>
        <w:t>E</w:t>
      </w:r>
      <w:r w:rsidR="005604AE">
        <w:rPr>
          <w:lang w:eastAsia="fi-FI"/>
        </w:rPr>
        <w:t xml:space="preserve">ven if </w:t>
      </w:r>
      <w:r w:rsidR="0069469A">
        <w:rPr>
          <w:lang w:eastAsia="fi-FI"/>
        </w:rPr>
        <w:t xml:space="preserve">this is </w:t>
      </w:r>
      <w:r w:rsidR="005604AE">
        <w:rPr>
          <w:lang w:eastAsia="fi-FI"/>
        </w:rPr>
        <w:t xml:space="preserve">not in the </w:t>
      </w:r>
      <w:proofErr w:type="spellStart"/>
      <w:r w:rsidR="005604AE">
        <w:rPr>
          <w:lang w:eastAsia="fi-FI"/>
        </w:rPr>
        <w:t>center</w:t>
      </w:r>
      <w:proofErr w:type="spellEnd"/>
      <w:r w:rsidR="005604AE">
        <w:rPr>
          <w:lang w:eastAsia="fi-FI"/>
        </w:rPr>
        <w:t xml:space="preserve"> of RAN2 questions, </w:t>
      </w:r>
      <w:r w:rsidR="0069469A">
        <w:rPr>
          <w:lang w:eastAsia="fi-FI"/>
        </w:rPr>
        <w:t xml:space="preserve">it </w:t>
      </w:r>
      <w:r w:rsidR="005604AE">
        <w:rPr>
          <w:lang w:eastAsia="fi-FI"/>
        </w:rPr>
        <w:t>would be good to include in the discussion</w:t>
      </w:r>
      <w:r>
        <w:rPr>
          <w:lang w:eastAsia="fi-FI"/>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04AE" w14:paraId="7BE33B0D" w14:textId="77777777" w:rsidTr="005604A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564B36" w14:textId="77777777" w:rsidR="005604AE" w:rsidRPr="005604AE" w:rsidRDefault="005604AE">
            <w:pPr>
              <w:pStyle w:val="TAL"/>
              <w:rPr>
                <w:rFonts w:cstheme="minorBidi"/>
                <w:b/>
                <w:i/>
                <w:szCs w:val="22"/>
                <w:lang w:val="en-US" w:eastAsia="fi-FI"/>
              </w:rPr>
            </w:pPr>
            <w:proofErr w:type="spellStart"/>
            <w:r w:rsidRPr="005604AE">
              <w:rPr>
                <w:b/>
                <w:i/>
                <w:lang w:val="en-US" w:eastAsia="fi-FI"/>
              </w:rPr>
              <w:t>additionalDMRS</w:t>
            </w:r>
            <w:proofErr w:type="spellEnd"/>
            <w:r w:rsidRPr="005604AE">
              <w:rPr>
                <w:b/>
                <w:i/>
                <w:lang w:val="en-US" w:eastAsia="fi-FI"/>
              </w:rPr>
              <w:t>-DL-Alt</w:t>
            </w:r>
          </w:p>
          <w:p w14:paraId="32901E40" w14:textId="77777777" w:rsidR="005604AE" w:rsidRPr="005604AE" w:rsidRDefault="005604AE">
            <w:pPr>
              <w:pStyle w:val="TAL"/>
              <w:rPr>
                <w:lang w:val="en-US" w:eastAsia="fi-FI"/>
              </w:rPr>
            </w:pPr>
            <w:r w:rsidRPr="005604AE">
              <w:rPr>
                <w:rFonts w:cs="Arial"/>
                <w:szCs w:val="18"/>
                <w:lang w:val="en-US" w:eastAsia="fi-FI"/>
              </w:rPr>
              <w:t>Indicates whether the UE supports the alternative additional DMRS position for co-existence with LTE CRS.</w:t>
            </w:r>
          </w:p>
        </w:tc>
        <w:tc>
          <w:tcPr>
            <w:tcW w:w="709" w:type="dxa"/>
            <w:tcBorders>
              <w:top w:val="single" w:sz="4" w:space="0" w:color="808080"/>
              <w:left w:val="single" w:sz="4" w:space="0" w:color="808080"/>
              <w:bottom w:val="single" w:sz="4" w:space="0" w:color="808080"/>
              <w:right w:val="single" w:sz="4" w:space="0" w:color="808080"/>
            </w:tcBorders>
            <w:hideMark/>
          </w:tcPr>
          <w:p w14:paraId="5DE5499A" w14:textId="77777777" w:rsidR="005604AE" w:rsidRDefault="005604AE">
            <w:pPr>
              <w:pStyle w:val="TAL"/>
              <w:jc w:val="center"/>
              <w:rPr>
                <w:lang w:val="fi-FI" w:eastAsia="fi-FI"/>
              </w:rPr>
            </w:pPr>
            <w:r>
              <w:rPr>
                <w:lang w:val="fi-FI" w:eastAsia="fi-FI"/>
              </w:rPr>
              <w:t>FS</w:t>
            </w:r>
          </w:p>
        </w:tc>
        <w:tc>
          <w:tcPr>
            <w:tcW w:w="567" w:type="dxa"/>
            <w:tcBorders>
              <w:top w:val="single" w:sz="4" w:space="0" w:color="808080"/>
              <w:left w:val="single" w:sz="4" w:space="0" w:color="808080"/>
              <w:bottom w:val="single" w:sz="4" w:space="0" w:color="808080"/>
              <w:right w:val="single" w:sz="4" w:space="0" w:color="808080"/>
            </w:tcBorders>
            <w:hideMark/>
          </w:tcPr>
          <w:p w14:paraId="4045764E" w14:textId="77777777" w:rsidR="005604AE" w:rsidRDefault="005604AE">
            <w:pPr>
              <w:pStyle w:val="TAL"/>
              <w:jc w:val="center"/>
              <w:rPr>
                <w:lang w:val="fi-FI" w:eastAsia="fi-FI"/>
              </w:rPr>
            </w:pPr>
            <w:r>
              <w:rPr>
                <w:lang w:val="fi-FI" w:eastAsia="fi-FI"/>
              </w:rPr>
              <w:t>No</w:t>
            </w:r>
          </w:p>
        </w:tc>
        <w:tc>
          <w:tcPr>
            <w:tcW w:w="709" w:type="dxa"/>
            <w:tcBorders>
              <w:top w:val="single" w:sz="4" w:space="0" w:color="808080"/>
              <w:left w:val="single" w:sz="4" w:space="0" w:color="808080"/>
              <w:bottom w:val="single" w:sz="4" w:space="0" w:color="808080"/>
              <w:right w:val="single" w:sz="4" w:space="0" w:color="808080"/>
            </w:tcBorders>
            <w:hideMark/>
          </w:tcPr>
          <w:p w14:paraId="43D8749D" w14:textId="77777777" w:rsidR="005604AE" w:rsidRDefault="005604AE">
            <w:pPr>
              <w:pStyle w:val="TAL"/>
              <w:jc w:val="center"/>
              <w:rPr>
                <w:lang w:val="fi-FI" w:eastAsia="fi-FI"/>
              </w:rPr>
            </w:pPr>
            <w:r>
              <w:rPr>
                <w:lang w:val="fi-FI" w:eastAsia="fi-FI"/>
              </w:rPr>
              <w:t>No</w:t>
            </w:r>
          </w:p>
        </w:tc>
        <w:tc>
          <w:tcPr>
            <w:tcW w:w="728" w:type="dxa"/>
            <w:tcBorders>
              <w:top w:val="single" w:sz="4" w:space="0" w:color="808080"/>
              <w:left w:val="single" w:sz="4" w:space="0" w:color="808080"/>
              <w:bottom w:val="single" w:sz="4" w:space="0" w:color="808080"/>
              <w:right w:val="single" w:sz="4" w:space="0" w:color="808080"/>
            </w:tcBorders>
            <w:hideMark/>
          </w:tcPr>
          <w:p w14:paraId="61FE828D" w14:textId="77777777" w:rsidR="005604AE" w:rsidRDefault="005604AE">
            <w:pPr>
              <w:pStyle w:val="TAL"/>
              <w:jc w:val="center"/>
              <w:rPr>
                <w:lang w:val="fi-FI" w:eastAsia="fi-FI"/>
              </w:rPr>
            </w:pPr>
            <w:r>
              <w:rPr>
                <w:lang w:val="fi-FI" w:eastAsia="fi-FI"/>
              </w:rPr>
              <w:t>No</w:t>
            </w:r>
          </w:p>
        </w:tc>
      </w:tr>
    </w:tbl>
    <w:p w14:paraId="575D6E23" w14:textId="77777777" w:rsidR="005604AE" w:rsidRDefault="005604AE" w:rsidP="005604AE">
      <w:pPr>
        <w:spacing w:after="120"/>
        <w:jc w:val="both"/>
        <w:rPr>
          <w:rFonts w:eastAsiaTheme="minorHAnsi"/>
          <w:lang w:eastAsia="fi-FI"/>
        </w:rPr>
      </w:pPr>
    </w:p>
    <w:p w14:paraId="36571DD7" w14:textId="77777777" w:rsidR="005604AE" w:rsidRDefault="005604AE" w:rsidP="005604AE">
      <w:pPr>
        <w:spacing w:after="120"/>
        <w:jc w:val="both"/>
        <w:rPr>
          <w:lang w:eastAsia="fi-FI"/>
        </w:rPr>
      </w:pPr>
    </w:p>
    <w:p w14:paraId="472094E0" w14:textId="022CEA63" w:rsidR="005604AE" w:rsidRPr="00D86BC4" w:rsidRDefault="005604AE" w:rsidP="005604AE">
      <w:pPr>
        <w:spacing w:after="120"/>
        <w:jc w:val="both"/>
        <w:rPr>
          <w:lang w:eastAsia="fi-FI"/>
        </w:rPr>
      </w:pPr>
      <w:r w:rsidRPr="00D86BC4">
        <w:rPr>
          <w:lang w:eastAsia="fi-FI"/>
        </w:rPr>
        <w:lastRenderedPageBreak/>
        <w:t>The following</w:t>
      </w:r>
      <w:r w:rsidR="00486E8F" w:rsidRPr="00D86BC4">
        <w:rPr>
          <w:lang w:eastAsia="fi-FI"/>
        </w:rPr>
        <w:t xml:space="preserve"> UE capabilities and UE features were introduced by RAN1 for</w:t>
      </w:r>
      <w:r w:rsidRPr="00D86BC4">
        <w:rPr>
          <w:lang w:eastAsia="fi-FI"/>
        </w:rPr>
        <w:t xml:space="preserve"> </w:t>
      </w:r>
      <w:r w:rsidR="00486E8F" w:rsidRPr="00D86BC4">
        <w:rPr>
          <w:lang w:eastAsia="fi-FI"/>
        </w:rPr>
        <w:t xml:space="preserve">enabling DL carrier </w:t>
      </w:r>
      <w:r w:rsidRPr="00D86BC4">
        <w:rPr>
          <w:lang w:eastAsia="fi-FI"/>
        </w:rPr>
        <w:t>sharing:</w:t>
      </w:r>
    </w:p>
    <w:p w14:paraId="47FC3210" w14:textId="77777777" w:rsidR="005604AE" w:rsidRPr="00D86BC4" w:rsidRDefault="005604AE" w:rsidP="00486E8F">
      <w:pPr>
        <w:pStyle w:val="TAL"/>
        <w:overflowPunct/>
        <w:autoSpaceDE/>
        <w:autoSpaceDN/>
        <w:adjustRightInd/>
        <w:spacing w:after="160" w:line="256" w:lineRule="auto"/>
        <w:ind w:left="360"/>
        <w:textAlignment w:val="auto"/>
        <w:rPr>
          <w:rFonts w:ascii="Times New Roman" w:hAnsi="Times New Roman"/>
          <w:b/>
          <w:i/>
          <w:sz w:val="20"/>
          <w:lang w:val="en-US"/>
        </w:rPr>
      </w:pPr>
      <w:proofErr w:type="spellStart"/>
      <w:r w:rsidRPr="00D86BC4">
        <w:rPr>
          <w:rFonts w:ascii="Times New Roman" w:hAnsi="Times New Roman"/>
          <w:b/>
          <w:i/>
          <w:sz w:val="20"/>
        </w:rPr>
        <w:t>rateMatchingLTE</w:t>
      </w:r>
      <w:proofErr w:type="spellEnd"/>
      <w:r w:rsidRPr="00D86BC4">
        <w:rPr>
          <w:rFonts w:ascii="Times New Roman" w:hAnsi="Times New Roman"/>
          <w:b/>
          <w:i/>
          <w:sz w:val="20"/>
        </w:rPr>
        <w:t xml:space="preserve">-CRS: </w:t>
      </w:r>
      <w:r w:rsidRPr="00D86BC4">
        <w:rPr>
          <w:rFonts w:ascii="Times New Roman" w:hAnsi="Times New Roman"/>
          <w:sz w:val="20"/>
        </w:rPr>
        <w:t>This was introduced for RE-level co-existence with LTE CRS for the NR PDSCH to be able to rate match around the LTE CRS REs on a shared downlink carrier.</w:t>
      </w:r>
    </w:p>
    <w:p w14:paraId="31195DBD" w14:textId="77777777" w:rsidR="005604AE" w:rsidRPr="00D86BC4" w:rsidRDefault="005604AE" w:rsidP="00486E8F">
      <w:pPr>
        <w:pStyle w:val="TAL"/>
        <w:overflowPunct/>
        <w:autoSpaceDE/>
        <w:autoSpaceDN/>
        <w:adjustRightInd/>
        <w:spacing w:after="160" w:line="256" w:lineRule="auto"/>
        <w:ind w:left="360"/>
        <w:textAlignment w:val="auto"/>
        <w:rPr>
          <w:rFonts w:ascii="Times New Roman" w:hAnsi="Times New Roman"/>
          <w:b/>
          <w:i/>
          <w:sz w:val="20"/>
        </w:rPr>
      </w:pPr>
      <w:proofErr w:type="spellStart"/>
      <w:r w:rsidRPr="00D86BC4">
        <w:rPr>
          <w:rFonts w:ascii="Times New Roman" w:hAnsi="Times New Roman"/>
          <w:b/>
          <w:i/>
          <w:sz w:val="20"/>
        </w:rPr>
        <w:t>rateMatchingResrcSetSemi</w:t>
      </w:r>
      <w:proofErr w:type="spellEnd"/>
      <w:r w:rsidRPr="00D86BC4">
        <w:rPr>
          <w:rFonts w:ascii="Times New Roman" w:hAnsi="Times New Roman"/>
          <w:b/>
          <w:i/>
          <w:sz w:val="20"/>
        </w:rPr>
        <w:t xml:space="preserve">-Static: </w:t>
      </w:r>
      <w:r w:rsidRPr="00D86BC4">
        <w:rPr>
          <w:rFonts w:ascii="Times New Roman" w:hAnsi="Times New Roman"/>
          <w:sz w:val="20"/>
        </w:rPr>
        <w:t>This was introduced for the NR PDSCH to be able to rate-match around other users’ CORESET, for future compatibility purposes, as well as for symbol-level co-existence with LTE CRS for the NR PDSCH to be able to rate match around the LTE CRS symbols on a shared downlink carrier.</w:t>
      </w:r>
    </w:p>
    <w:p w14:paraId="352DF1E7" w14:textId="77777777" w:rsidR="005604AE" w:rsidRPr="00D86BC4" w:rsidRDefault="005604AE" w:rsidP="00486E8F">
      <w:pPr>
        <w:pStyle w:val="TAL"/>
        <w:overflowPunct/>
        <w:autoSpaceDE/>
        <w:autoSpaceDN/>
        <w:adjustRightInd/>
        <w:spacing w:after="160" w:line="256" w:lineRule="auto"/>
        <w:ind w:left="360"/>
        <w:textAlignment w:val="auto"/>
        <w:rPr>
          <w:rFonts w:ascii="Times New Roman" w:hAnsi="Times New Roman"/>
          <w:b/>
          <w:i/>
          <w:sz w:val="20"/>
        </w:rPr>
      </w:pPr>
      <w:bookmarkStart w:id="0" w:name="_Hlk4620832"/>
      <w:proofErr w:type="spellStart"/>
      <w:r w:rsidRPr="00D86BC4">
        <w:rPr>
          <w:rFonts w:ascii="Times New Roman" w:hAnsi="Times New Roman"/>
          <w:b/>
          <w:i/>
          <w:sz w:val="20"/>
        </w:rPr>
        <w:t>rateMatchingResrcSetDynamic</w:t>
      </w:r>
      <w:proofErr w:type="spellEnd"/>
      <w:r w:rsidRPr="00D86BC4">
        <w:rPr>
          <w:rFonts w:ascii="Times New Roman" w:hAnsi="Times New Roman"/>
          <w:sz w:val="20"/>
        </w:rPr>
        <w:t xml:space="preserve">: </w:t>
      </w:r>
      <w:bookmarkEnd w:id="0"/>
      <w:r w:rsidRPr="00D86BC4">
        <w:rPr>
          <w:rFonts w:ascii="Times New Roman" w:hAnsi="Times New Roman"/>
          <w:sz w:val="20"/>
        </w:rPr>
        <w:t>This was introduced for future compatibility purposes, and it could be used for more efficient symbol-level co-existence with LTE CRS than the semi-static capability in the case that not all LTE sub-frames carry CRS. Note that there is a separate capability for UE to rate match dynamically around other users’ CORESET not relevant to DL sharing.</w:t>
      </w:r>
    </w:p>
    <w:p w14:paraId="3EA60761" w14:textId="2BB2D4A8" w:rsidR="005604AE" w:rsidRPr="00D86BC4" w:rsidRDefault="005604AE" w:rsidP="00486E8F">
      <w:pPr>
        <w:pStyle w:val="TAL"/>
        <w:overflowPunct/>
        <w:autoSpaceDE/>
        <w:autoSpaceDN/>
        <w:adjustRightInd/>
        <w:spacing w:after="160" w:line="256" w:lineRule="auto"/>
        <w:ind w:left="360"/>
        <w:textAlignment w:val="auto"/>
        <w:rPr>
          <w:rFonts w:ascii="Times New Roman" w:hAnsi="Times New Roman"/>
          <w:sz w:val="20"/>
        </w:rPr>
      </w:pPr>
      <w:proofErr w:type="spellStart"/>
      <w:r w:rsidRPr="00D86BC4">
        <w:rPr>
          <w:rFonts w:ascii="Times New Roman" w:hAnsi="Times New Roman"/>
          <w:b/>
          <w:i/>
          <w:sz w:val="20"/>
        </w:rPr>
        <w:t>additionalDMRS</w:t>
      </w:r>
      <w:proofErr w:type="spellEnd"/>
      <w:r w:rsidRPr="00D86BC4">
        <w:rPr>
          <w:rFonts w:ascii="Times New Roman" w:hAnsi="Times New Roman"/>
          <w:b/>
          <w:i/>
          <w:sz w:val="20"/>
        </w:rPr>
        <w:t xml:space="preserve">-DL-Alt: </w:t>
      </w:r>
      <w:r w:rsidRPr="00D86BC4">
        <w:rPr>
          <w:rFonts w:ascii="Times New Roman" w:hAnsi="Times New Roman"/>
          <w:sz w:val="20"/>
        </w:rPr>
        <w:t>This was introduced for LTE and NR downlink sharing purposes for NR to coexist with LTE CRS, and it is applicable to the NR carrier, regardless of whether the UE is also receiving the LTE carrier. Without this capability it is not possible to use additional PDSCH-DMRS on an NR carrier coexisting with LTE CRS.</w:t>
      </w:r>
    </w:p>
    <w:p w14:paraId="06950854" w14:textId="04697959" w:rsidR="00123D6E" w:rsidRPr="00D86BC4" w:rsidRDefault="00123D6E" w:rsidP="00123D6E">
      <w:pPr>
        <w:spacing w:after="120"/>
        <w:jc w:val="both"/>
        <w:rPr>
          <w:lang w:eastAsia="fi-FI"/>
        </w:rPr>
      </w:pPr>
      <w:r w:rsidRPr="00D86BC4">
        <w:rPr>
          <w:lang w:eastAsia="fi-FI"/>
        </w:rPr>
        <w:t>Based on the discussions above we propose the following answers to the first two RAN2 questions:</w:t>
      </w:r>
    </w:p>
    <w:p w14:paraId="1C25A357" w14:textId="77777777" w:rsidR="00123D6E" w:rsidRPr="00D86BC4" w:rsidRDefault="00123D6E" w:rsidP="00123D6E">
      <w:pPr>
        <w:pStyle w:val="Header"/>
        <w:widowControl/>
        <w:numPr>
          <w:ilvl w:val="0"/>
          <w:numId w:val="44"/>
        </w:numPr>
        <w:tabs>
          <w:tab w:val="center" w:pos="4153"/>
          <w:tab w:val="right" w:pos="8306"/>
        </w:tabs>
        <w:overflowPunct/>
        <w:autoSpaceDE/>
        <w:autoSpaceDN/>
        <w:adjustRightInd/>
        <w:spacing w:after="120"/>
        <w:textAlignment w:val="auto"/>
        <w:rPr>
          <w:rFonts w:ascii="Times New Roman" w:hAnsi="Times New Roman"/>
          <w:b w:val="0"/>
          <w:sz w:val="20"/>
        </w:rPr>
      </w:pPr>
      <w:r w:rsidRPr="00D86BC4">
        <w:rPr>
          <w:rFonts w:ascii="Times New Roman" w:hAnsi="Times New Roman"/>
          <w:b w:val="0"/>
          <w:sz w:val="20"/>
        </w:rPr>
        <w:t>Is the shared E-UTRA-NR FDD carrier supported in RAN4, i.e. the case where both FDD DL carrier and FDD UL carrier are shared from UE perspective by E-UTRA and NR?</w:t>
      </w:r>
    </w:p>
    <w:p w14:paraId="6AF81067" w14:textId="6FADF952" w:rsidR="00123D6E" w:rsidRPr="00D86BC4" w:rsidRDefault="00123D6E" w:rsidP="00123D6E">
      <w:pPr>
        <w:pStyle w:val="Header"/>
        <w:widowControl/>
        <w:tabs>
          <w:tab w:val="center" w:pos="4153"/>
          <w:tab w:val="right" w:pos="8306"/>
        </w:tabs>
        <w:overflowPunct/>
        <w:autoSpaceDE/>
        <w:autoSpaceDN/>
        <w:adjustRightInd/>
        <w:spacing w:after="120"/>
        <w:ind w:left="360"/>
        <w:textAlignment w:val="auto"/>
        <w:rPr>
          <w:rFonts w:ascii="Times New Roman" w:hAnsi="Times New Roman"/>
          <w:b w:val="0"/>
          <w:sz w:val="20"/>
        </w:rPr>
      </w:pPr>
      <w:r w:rsidRPr="00D86BC4">
        <w:rPr>
          <w:rFonts w:ascii="Times New Roman" w:hAnsi="Times New Roman"/>
          <w:sz w:val="20"/>
        </w:rPr>
        <w:t>Draft answer to RAN2</w:t>
      </w:r>
      <w:r w:rsidRPr="00D86BC4">
        <w:rPr>
          <w:rFonts w:ascii="Times New Roman" w:hAnsi="Times New Roman"/>
          <w:b w:val="0"/>
          <w:sz w:val="20"/>
        </w:rPr>
        <w:t xml:space="preserve">: Yes, RAN4 has </w:t>
      </w:r>
      <w:r w:rsidR="00D86BC4" w:rsidRPr="00D86BC4">
        <w:rPr>
          <w:rFonts w:ascii="Times New Roman" w:hAnsi="Times New Roman"/>
          <w:b w:val="0"/>
          <w:sz w:val="20"/>
        </w:rPr>
        <w:t xml:space="preserve">defined </w:t>
      </w:r>
      <w:r w:rsidRPr="00D86BC4">
        <w:rPr>
          <w:rFonts w:ascii="Times New Roman" w:hAnsi="Times New Roman"/>
          <w:b w:val="0"/>
          <w:sz w:val="20"/>
        </w:rPr>
        <w:t xml:space="preserve">UL carrier sharing including UL sharing from the UE perspective both for SUL and FDD bands. DL carrier sharing is introduced by RAN1 related UE features and capabilities and thus, transparent in the RAN4 specifications. </w:t>
      </w:r>
    </w:p>
    <w:p w14:paraId="499A2A6A" w14:textId="77777777" w:rsidR="00123D6E" w:rsidRPr="00D86BC4" w:rsidRDefault="00123D6E" w:rsidP="00123D6E">
      <w:pPr>
        <w:pStyle w:val="Header"/>
        <w:widowControl/>
        <w:numPr>
          <w:ilvl w:val="0"/>
          <w:numId w:val="44"/>
        </w:numPr>
        <w:tabs>
          <w:tab w:val="center" w:pos="4153"/>
          <w:tab w:val="right" w:pos="8306"/>
        </w:tabs>
        <w:overflowPunct/>
        <w:autoSpaceDE/>
        <w:autoSpaceDN/>
        <w:adjustRightInd/>
        <w:spacing w:after="120"/>
        <w:textAlignment w:val="auto"/>
        <w:rPr>
          <w:rFonts w:ascii="Times New Roman" w:hAnsi="Times New Roman"/>
          <w:b w:val="0"/>
          <w:sz w:val="20"/>
        </w:rPr>
      </w:pPr>
      <w:r w:rsidRPr="00D86BC4">
        <w:rPr>
          <w:rFonts w:ascii="Times New Roman" w:hAnsi="Times New Roman"/>
          <w:b w:val="0"/>
          <w:sz w:val="20"/>
        </w:rPr>
        <w:t>Does the UL sharing from UE perspective need to be supported together with any DL sharing capabilities that are required the shared E-UTRA-NR FDD carrier case?</w:t>
      </w:r>
    </w:p>
    <w:p w14:paraId="3A5A0D09" w14:textId="01DE4746" w:rsidR="00123D6E" w:rsidRDefault="00123D6E" w:rsidP="00123D6E">
      <w:pPr>
        <w:pStyle w:val="Header"/>
        <w:widowControl/>
        <w:tabs>
          <w:tab w:val="center" w:pos="4153"/>
          <w:tab w:val="right" w:pos="8306"/>
        </w:tabs>
        <w:overflowPunct/>
        <w:autoSpaceDE/>
        <w:autoSpaceDN/>
        <w:adjustRightInd/>
        <w:spacing w:after="120"/>
        <w:ind w:left="360"/>
        <w:textAlignment w:val="auto"/>
        <w:rPr>
          <w:rFonts w:ascii="Times New Roman" w:hAnsi="Times New Roman"/>
          <w:b w:val="0"/>
          <w:sz w:val="20"/>
        </w:rPr>
      </w:pPr>
      <w:r w:rsidRPr="00D86BC4">
        <w:rPr>
          <w:rFonts w:ascii="Times New Roman" w:hAnsi="Times New Roman"/>
          <w:sz w:val="20"/>
        </w:rPr>
        <w:t>Draft answer to RAN2</w:t>
      </w:r>
      <w:r w:rsidRPr="00D86BC4">
        <w:rPr>
          <w:rFonts w:ascii="Times New Roman" w:hAnsi="Times New Roman"/>
          <w:b w:val="0"/>
          <w:sz w:val="20"/>
        </w:rPr>
        <w:t xml:space="preserve">: </w:t>
      </w:r>
      <w:r w:rsidR="00F625C9" w:rsidRPr="00D86BC4">
        <w:rPr>
          <w:rFonts w:ascii="Times New Roman" w:hAnsi="Times New Roman"/>
          <w:sz w:val="20"/>
        </w:rPr>
        <w:t>Draft answer to RAN2</w:t>
      </w:r>
      <w:r w:rsidR="00F625C9" w:rsidRPr="00D86BC4">
        <w:rPr>
          <w:rFonts w:ascii="Times New Roman" w:hAnsi="Times New Roman"/>
          <w:b w:val="0"/>
          <w:sz w:val="20"/>
        </w:rPr>
        <w:t xml:space="preserve">: </w:t>
      </w:r>
      <w:bookmarkStart w:id="1" w:name="_Hlk5041053"/>
      <w:r w:rsidR="00F625C9" w:rsidRPr="00D86BC4">
        <w:rPr>
          <w:rFonts w:ascii="Times New Roman" w:hAnsi="Times New Roman"/>
          <w:b w:val="0"/>
          <w:sz w:val="20"/>
        </w:rPr>
        <w:t xml:space="preserve">Yes, for enabling EN-DC operations </w:t>
      </w:r>
      <w:r w:rsidR="00F625C9">
        <w:rPr>
          <w:rFonts w:ascii="Times New Roman" w:hAnsi="Times New Roman"/>
          <w:b w:val="0"/>
          <w:sz w:val="20"/>
        </w:rPr>
        <w:t xml:space="preserve">for the </w:t>
      </w:r>
      <w:r w:rsidR="00F625C9" w:rsidRPr="00D86BC4">
        <w:rPr>
          <w:rFonts w:ascii="Times New Roman" w:hAnsi="Times New Roman"/>
          <w:b w:val="0"/>
          <w:sz w:val="20"/>
        </w:rPr>
        <w:t xml:space="preserve">shared DL and UL E-UTRA - NR carriers </w:t>
      </w:r>
      <w:r w:rsidR="00F625C9">
        <w:rPr>
          <w:rFonts w:ascii="Times New Roman" w:hAnsi="Times New Roman"/>
          <w:b w:val="0"/>
          <w:sz w:val="20"/>
        </w:rPr>
        <w:t>with</w:t>
      </w:r>
      <w:r w:rsidR="00F625C9" w:rsidRPr="00D86BC4">
        <w:rPr>
          <w:rFonts w:ascii="Times New Roman" w:hAnsi="Times New Roman"/>
          <w:b w:val="0"/>
          <w:sz w:val="20"/>
        </w:rPr>
        <w:t xml:space="preserve"> E-UTRA and NR FDD bands</w:t>
      </w:r>
      <w:r w:rsidR="00F625C9">
        <w:rPr>
          <w:rFonts w:ascii="Times New Roman" w:hAnsi="Times New Roman"/>
          <w:b w:val="0"/>
          <w:sz w:val="20"/>
        </w:rPr>
        <w:t xml:space="preserve"> the UE needs to support both</w:t>
      </w:r>
      <w:r w:rsidR="00F625C9" w:rsidRPr="00D86BC4">
        <w:rPr>
          <w:rFonts w:ascii="Times New Roman" w:hAnsi="Times New Roman"/>
          <w:b w:val="0"/>
          <w:sz w:val="20"/>
        </w:rPr>
        <w:t xml:space="preserve"> UL sharing from the UE perspective</w:t>
      </w:r>
      <w:r w:rsidR="00F625C9">
        <w:rPr>
          <w:rFonts w:ascii="Times New Roman" w:hAnsi="Times New Roman"/>
          <w:b w:val="0"/>
          <w:sz w:val="20"/>
        </w:rPr>
        <w:t xml:space="preserve"> and</w:t>
      </w:r>
      <w:r w:rsidR="00F625C9" w:rsidRPr="00D86BC4">
        <w:rPr>
          <w:rFonts w:ascii="Times New Roman" w:hAnsi="Times New Roman"/>
          <w:b w:val="0"/>
          <w:sz w:val="20"/>
        </w:rPr>
        <w:t xml:space="preserve"> DL sharing. This </w:t>
      </w:r>
      <w:r w:rsidR="00395796">
        <w:rPr>
          <w:rFonts w:ascii="Times New Roman" w:hAnsi="Times New Roman"/>
          <w:b w:val="0"/>
          <w:sz w:val="20"/>
        </w:rPr>
        <w:t>can</w:t>
      </w:r>
      <w:r w:rsidR="00F625C9">
        <w:rPr>
          <w:rFonts w:ascii="Times New Roman" w:hAnsi="Times New Roman"/>
          <w:b w:val="0"/>
          <w:sz w:val="20"/>
        </w:rPr>
        <w:t xml:space="preserve"> be</w:t>
      </w:r>
      <w:r w:rsidR="00F625C9" w:rsidRPr="00D86BC4">
        <w:rPr>
          <w:rFonts w:ascii="Times New Roman" w:hAnsi="Times New Roman"/>
          <w:b w:val="0"/>
          <w:sz w:val="20"/>
        </w:rPr>
        <w:t xml:space="preserve"> achieved </w:t>
      </w:r>
      <w:r w:rsidR="00F625C9">
        <w:rPr>
          <w:rFonts w:ascii="Times New Roman" w:hAnsi="Times New Roman"/>
          <w:b w:val="0"/>
          <w:sz w:val="20"/>
        </w:rPr>
        <w:t xml:space="preserve">by UE indicating </w:t>
      </w:r>
      <w:r w:rsidR="00F625C9" w:rsidRPr="00D86BC4">
        <w:rPr>
          <w:rFonts w:ascii="Times New Roman" w:hAnsi="Times New Roman"/>
          <w:b w:val="0"/>
          <w:sz w:val="20"/>
        </w:rPr>
        <w:t>ul-SharingEUTRA-NR for UL sharing</w:t>
      </w:r>
      <w:r w:rsidR="00F625C9">
        <w:rPr>
          <w:rFonts w:ascii="Times New Roman" w:hAnsi="Times New Roman"/>
          <w:b w:val="0"/>
          <w:sz w:val="20"/>
        </w:rPr>
        <w:t xml:space="preserve"> and e.g. </w:t>
      </w:r>
      <w:r w:rsidR="00F625C9" w:rsidRPr="00D86BC4">
        <w:rPr>
          <w:rFonts w:ascii="Times New Roman" w:hAnsi="Times New Roman"/>
          <w:b w:val="0"/>
          <w:sz w:val="20"/>
        </w:rPr>
        <w:t>rateMatchingLTE-CRS for DL sharing.</w:t>
      </w:r>
      <w:r w:rsidRPr="00D86BC4">
        <w:rPr>
          <w:rFonts w:ascii="Times New Roman" w:hAnsi="Times New Roman"/>
          <w:b w:val="0"/>
          <w:sz w:val="20"/>
        </w:rPr>
        <w:t xml:space="preserve"> </w:t>
      </w:r>
      <w:bookmarkEnd w:id="1"/>
    </w:p>
    <w:p w14:paraId="255336E9" w14:textId="77777777" w:rsidR="0024788C" w:rsidRDefault="0024788C" w:rsidP="005604AE">
      <w:pPr>
        <w:tabs>
          <w:tab w:val="num" w:pos="720"/>
        </w:tabs>
        <w:rPr>
          <w:lang w:val="en-US"/>
        </w:rPr>
      </w:pPr>
    </w:p>
    <w:p w14:paraId="323BFC22" w14:textId="6AF07206" w:rsidR="005604AE" w:rsidRPr="002B0E2A" w:rsidRDefault="006F3FCC" w:rsidP="005604AE">
      <w:pPr>
        <w:tabs>
          <w:tab w:val="num" w:pos="720"/>
        </w:tabs>
        <w:rPr>
          <w:lang w:val="en-US"/>
        </w:rPr>
      </w:pPr>
      <w:r w:rsidRPr="002B0E2A">
        <w:rPr>
          <w:lang w:val="en-US"/>
        </w:rPr>
        <w:t>In the LS [1] RAN2 asks</w:t>
      </w:r>
      <w:r w:rsidR="00AC7588" w:rsidRPr="002B0E2A">
        <w:rPr>
          <w:lang w:val="en-US"/>
        </w:rPr>
        <w:t xml:space="preserve"> RAN4 specification</w:t>
      </w:r>
      <w:r w:rsidRPr="002B0E2A">
        <w:rPr>
          <w:lang w:val="en-US"/>
        </w:rPr>
        <w:t xml:space="preserve"> references </w:t>
      </w:r>
      <w:r w:rsidR="00AC7588" w:rsidRPr="002B0E2A">
        <w:rPr>
          <w:lang w:val="en-US"/>
        </w:rPr>
        <w:t xml:space="preserve">for the E-UTRA and NR switching time mask </w:t>
      </w:r>
      <w:proofErr w:type="gramStart"/>
      <w:r w:rsidR="00AC7588" w:rsidRPr="002B0E2A">
        <w:rPr>
          <w:lang w:val="en-US"/>
        </w:rPr>
        <w:t>requirements  and</w:t>
      </w:r>
      <w:proofErr w:type="gramEnd"/>
      <w:r w:rsidR="00AC7588" w:rsidRPr="002B0E2A">
        <w:rPr>
          <w:lang w:val="en-US"/>
        </w:rPr>
        <w:t xml:space="preserve"> need for UE to report switching type for intra-band contiguous EN-DC band combination.</w:t>
      </w:r>
      <w:r w:rsidR="00416C5D" w:rsidRPr="002B0E2A">
        <w:rPr>
          <w:lang w:val="en-US"/>
        </w:rPr>
        <w:t xml:space="preserve"> In the latest specification version of TS38.101-3 RAN4 has now divided UE EN-DC Output power dynamics requirements for UL sharing from UE perspective, intra-band EN-DC without dual PA capability and intra-band EN-DC with dual PA capability to separate sub-sections as follows</w:t>
      </w:r>
      <w:r w:rsidR="008A5493" w:rsidRPr="002B0E2A">
        <w:rPr>
          <w:lang w:val="en-US"/>
        </w:rPr>
        <w:t xml:space="preserve">; </w:t>
      </w:r>
    </w:p>
    <w:p w14:paraId="5E92931C" w14:textId="77777777" w:rsidR="00416C5D" w:rsidRPr="002B0E2A" w:rsidRDefault="00416C5D" w:rsidP="00416C5D">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r w:rsidRPr="002B0E2A">
        <w:rPr>
          <w:rFonts w:ascii="Times New Roman" w:hAnsi="Times New Roman"/>
          <w:b w:val="0"/>
          <w:sz w:val="20"/>
          <w:lang w:val="en-GB"/>
        </w:rPr>
        <w:t>6.3B.1</w:t>
      </w:r>
      <w:r w:rsidRPr="002B0E2A">
        <w:rPr>
          <w:rFonts w:ascii="Times New Roman" w:hAnsi="Times New Roman"/>
          <w:b w:val="0"/>
          <w:sz w:val="20"/>
          <w:lang w:val="en-GB"/>
        </w:rPr>
        <w:tab/>
        <w:t>Output power dynamics for EN-DC with UL sharing from UE perspective</w:t>
      </w:r>
    </w:p>
    <w:p w14:paraId="38227FFA" w14:textId="77777777" w:rsidR="00416C5D" w:rsidRPr="002B0E2A" w:rsidRDefault="00416C5D" w:rsidP="00416C5D">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r w:rsidRPr="002B0E2A">
        <w:rPr>
          <w:rFonts w:ascii="Times New Roman" w:hAnsi="Times New Roman"/>
          <w:b w:val="0"/>
          <w:sz w:val="20"/>
          <w:lang w:val="en-GB"/>
        </w:rPr>
        <w:t>6.3B.2</w:t>
      </w:r>
      <w:r w:rsidRPr="002B0E2A">
        <w:rPr>
          <w:rFonts w:ascii="Times New Roman" w:hAnsi="Times New Roman"/>
          <w:b w:val="0"/>
          <w:sz w:val="20"/>
          <w:lang w:val="en-GB"/>
        </w:rPr>
        <w:tab/>
        <w:t>Output power dynamics for intra-band EN-DC without dual PA capability</w:t>
      </w:r>
    </w:p>
    <w:p w14:paraId="1E9460DB" w14:textId="4D651352" w:rsidR="00416C5D" w:rsidRPr="002B0E2A" w:rsidRDefault="00416C5D" w:rsidP="00416C5D">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r w:rsidRPr="002B0E2A">
        <w:rPr>
          <w:rFonts w:ascii="Times New Roman" w:hAnsi="Times New Roman"/>
          <w:b w:val="0"/>
          <w:sz w:val="20"/>
          <w:lang w:val="en-GB"/>
        </w:rPr>
        <w:t>6.3B.3</w:t>
      </w:r>
      <w:r w:rsidRPr="002B0E2A">
        <w:rPr>
          <w:rFonts w:ascii="Times New Roman" w:hAnsi="Times New Roman"/>
          <w:b w:val="0"/>
          <w:sz w:val="20"/>
          <w:lang w:val="en-GB"/>
        </w:rPr>
        <w:tab/>
        <w:t>Output power dynamics for intra-band EN-DC with dual PA capability</w:t>
      </w:r>
    </w:p>
    <w:p w14:paraId="39A3090E" w14:textId="607E1E5F" w:rsidR="008A5493" w:rsidRPr="002B0E2A" w:rsidRDefault="008A5493" w:rsidP="00721706">
      <w:pPr>
        <w:tabs>
          <w:tab w:val="num" w:pos="720"/>
        </w:tabs>
      </w:pPr>
      <w:r w:rsidRPr="002B0E2A">
        <w:rPr>
          <w:lang w:val="en-US"/>
        </w:rPr>
        <w:t xml:space="preserve">After the latest specification updates RAN4 does not any longer refer to Type 1 and Type2 switching times in the intra-band EN-DC </w:t>
      </w:r>
      <w:r w:rsidR="00EC135D" w:rsidRPr="002B0E2A">
        <w:rPr>
          <w:lang w:val="en-US"/>
        </w:rPr>
        <w:t>requirements</w:t>
      </w:r>
      <w:r w:rsidRPr="002B0E2A">
        <w:rPr>
          <w:lang w:val="en-US"/>
        </w:rPr>
        <w:t xml:space="preserve"> but rather differentiate</w:t>
      </w:r>
      <w:r w:rsidR="00EC135D" w:rsidRPr="002B0E2A">
        <w:rPr>
          <w:lang w:val="en-US"/>
        </w:rPr>
        <w:t xml:space="preserve"> two set</w:t>
      </w:r>
      <w:r w:rsidR="0069469A">
        <w:rPr>
          <w:lang w:val="en-US"/>
        </w:rPr>
        <w:t>s</w:t>
      </w:r>
      <w:r w:rsidR="00EC135D" w:rsidRPr="002B0E2A">
        <w:rPr>
          <w:lang w:val="en-US"/>
        </w:rPr>
        <w:t xml:space="preserve"> of intra-band EN-DC switching time requirements</w:t>
      </w:r>
      <w:r w:rsidRPr="002B0E2A">
        <w:rPr>
          <w:lang w:val="en-US"/>
        </w:rPr>
        <w:t xml:space="preserve"> based on the dual PA capability. </w:t>
      </w:r>
      <w:r w:rsidR="009C1A09" w:rsidRPr="002B0E2A">
        <w:rPr>
          <w:lang w:val="en-US"/>
        </w:rPr>
        <w:t xml:space="preserve">Thus, based on the latest changes in TS38.101-3 the UE is no longer required to use ul-SwitchingTimeEUTRA-NR capability for differentiating between two sets of switching time requirements for intra-band EN-DC. </w:t>
      </w:r>
      <w:r w:rsidR="00721706" w:rsidRPr="002B0E2A">
        <w:rPr>
          <w:lang w:val="en-US"/>
        </w:rPr>
        <w:t xml:space="preserve">However, it is worth noting </w:t>
      </w:r>
      <w:r w:rsidR="00551A57" w:rsidRPr="002B0E2A">
        <w:rPr>
          <w:lang w:val="en-US"/>
        </w:rPr>
        <w:t xml:space="preserve">and informing RAN2 </w:t>
      </w:r>
      <w:r w:rsidR="00721706" w:rsidRPr="002B0E2A">
        <w:rPr>
          <w:lang w:val="en-US"/>
        </w:rPr>
        <w:t>that in the December 2018 version of TS38.101-3 switchin</w:t>
      </w:r>
      <w:r w:rsidR="00551A57" w:rsidRPr="002B0E2A">
        <w:rPr>
          <w:lang w:val="en-US"/>
        </w:rPr>
        <w:t>g</w:t>
      </w:r>
      <w:r w:rsidR="00721706" w:rsidRPr="002B0E2A">
        <w:rPr>
          <w:lang w:val="en-US"/>
        </w:rPr>
        <w:t xml:space="preserve"> </w:t>
      </w:r>
      <w:proofErr w:type="spellStart"/>
      <w:r w:rsidR="00721706" w:rsidRPr="002B0E2A">
        <w:rPr>
          <w:lang w:val="en-US"/>
        </w:rPr>
        <w:t>ti</w:t>
      </w:r>
      <w:proofErr w:type="spellEnd"/>
      <w:r w:rsidR="00721706" w:rsidRPr="002B0E2A">
        <w:t>me capabilit</w:t>
      </w:r>
      <w:r w:rsidR="00551A57" w:rsidRPr="002B0E2A">
        <w:t xml:space="preserve">ies; </w:t>
      </w:r>
      <w:r w:rsidR="00721706" w:rsidRPr="002B0E2A">
        <w:t xml:space="preserve">Type 1 and Type 2 were also </w:t>
      </w:r>
      <w:proofErr w:type="spellStart"/>
      <w:r w:rsidR="00721706" w:rsidRPr="002B0E2A">
        <w:t>also</w:t>
      </w:r>
      <w:proofErr w:type="spellEnd"/>
      <w:r w:rsidR="00721706" w:rsidRPr="002B0E2A">
        <w:t xml:space="preserve"> used for differentiating intra-band EN-DC </w:t>
      </w:r>
      <w:r w:rsidR="00551A57" w:rsidRPr="002B0E2A">
        <w:t xml:space="preserve">switching times. </w:t>
      </w:r>
    </w:p>
    <w:p w14:paraId="016284EC" w14:textId="77777777" w:rsidR="00551A57" w:rsidRPr="002B0E2A" w:rsidRDefault="00551A57" w:rsidP="00395796">
      <w:pPr>
        <w:pStyle w:val="Header"/>
        <w:widowControl/>
        <w:numPr>
          <w:ilvl w:val="0"/>
          <w:numId w:val="47"/>
        </w:numPr>
        <w:tabs>
          <w:tab w:val="center" w:pos="4153"/>
          <w:tab w:val="right" w:pos="8306"/>
        </w:tabs>
        <w:overflowPunct/>
        <w:autoSpaceDE/>
        <w:autoSpaceDN/>
        <w:adjustRightInd/>
        <w:spacing w:after="120"/>
        <w:textAlignment w:val="auto"/>
        <w:rPr>
          <w:rFonts w:ascii="Times New Roman" w:hAnsi="Times New Roman"/>
          <w:b w:val="0"/>
          <w:sz w:val="20"/>
        </w:rPr>
      </w:pPr>
      <w:r w:rsidRPr="002B0E2A">
        <w:rPr>
          <w:rFonts w:ascii="Times New Roman" w:hAnsi="Times New Roman"/>
          <w:b w:val="0"/>
          <w:sz w:val="20"/>
        </w:rPr>
        <w:t xml:space="preserve">How should RAN2 refer to RAN4 specification to indicate conditions when UE is required to support </w:t>
      </w:r>
      <w:r w:rsidRPr="002B0E2A">
        <w:rPr>
          <w:rFonts w:ascii="Times New Roman" w:hAnsi="Times New Roman"/>
          <w:b w:val="0"/>
          <w:i/>
          <w:sz w:val="20"/>
        </w:rPr>
        <w:t>ul-SwitchingTimeEUTRA-NR</w:t>
      </w:r>
      <w:r w:rsidRPr="002B0E2A">
        <w:rPr>
          <w:rFonts w:ascii="Times New Roman" w:hAnsi="Times New Roman"/>
          <w:b w:val="0"/>
          <w:sz w:val="20"/>
        </w:rPr>
        <w:t xml:space="preserve">? Specifically, does the </w:t>
      </w:r>
      <w:r w:rsidRPr="002B0E2A">
        <w:rPr>
          <w:rFonts w:ascii="Times New Roman" w:hAnsi="Times New Roman"/>
          <w:b w:val="0"/>
          <w:i/>
          <w:sz w:val="20"/>
        </w:rPr>
        <w:t>ul-SwitchingTimeEUTRA-NR</w:t>
      </w:r>
      <w:r w:rsidRPr="002B0E2A">
        <w:rPr>
          <w:rFonts w:ascii="Times New Roman" w:hAnsi="Times New Roman"/>
          <w:b w:val="0"/>
          <w:sz w:val="20"/>
        </w:rPr>
        <w:t xml:space="preserve"> apply to both TDM based E-UTRA-NR in UL sharing from UE perspective and intra-band contiguous scenario in adjacent channels when single UL transmission is allowed between E-UTRA and NR UL?</w:t>
      </w:r>
    </w:p>
    <w:p w14:paraId="3B9203DD" w14:textId="31EF2863" w:rsidR="00551A57" w:rsidRPr="002B0E2A" w:rsidRDefault="00551A57" w:rsidP="00551A57">
      <w:pPr>
        <w:pStyle w:val="Header"/>
        <w:widowControl/>
        <w:tabs>
          <w:tab w:val="center" w:pos="4153"/>
          <w:tab w:val="right" w:pos="8306"/>
        </w:tabs>
        <w:overflowPunct/>
        <w:autoSpaceDE/>
        <w:autoSpaceDN/>
        <w:adjustRightInd/>
        <w:spacing w:after="120"/>
        <w:ind w:left="360"/>
        <w:textAlignment w:val="auto"/>
        <w:rPr>
          <w:rFonts w:ascii="Times New Roman" w:hAnsi="Times New Roman"/>
          <w:b w:val="0"/>
          <w:sz w:val="20"/>
        </w:rPr>
      </w:pPr>
      <w:r w:rsidRPr="002B0E2A">
        <w:rPr>
          <w:rFonts w:ascii="Times New Roman" w:hAnsi="Times New Roman"/>
          <w:sz w:val="20"/>
        </w:rPr>
        <w:t>Draft answer to RAN2</w:t>
      </w:r>
      <w:r w:rsidRPr="002B0E2A">
        <w:rPr>
          <w:rFonts w:ascii="Times New Roman" w:hAnsi="Times New Roman"/>
          <w:b w:val="0"/>
          <w:sz w:val="20"/>
        </w:rPr>
        <w:t xml:space="preserve">: E-UTRA and NR switching time mask requirements are defined in the sub-sections of  Section </w:t>
      </w:r>
      <w:r w:rsidRPr="002B0E2A">
        <w:rPr>
          <w:rFonts w:ascii="Times New Roman" w:hAnsi="Times New Roman"/>
          <w:b w:val="0"/>
          <w:sz w:val="20"/>
          <w:lang w:val="en-GB"/>
        </w:rPr>
        <w:t xml:space="preserve">6.3 ‘Output power dynamics’ of TS38.101-3. </w:t>
      </w:r>
      <w:r w:rsidRPr="002B0E2A">
        <w:rPr>
          <w:rFonts w:ascii="Times New Roman" w:hAnsi="Times New Roman"/>
          <w:b w:val="0"/>
          <w:sz w:val="20"/>
        </w:rPr>
        <w:t xml:space="preserve">The following three different types of E-UTRA and NR switching time mask requirements are defined in the March 2019 version of TS38.101-3; </w:t>
      </w:r>
    </w:p>
    <w:p w14:paraId="6BAAFC9E" w14:textId="77777777" w:rsidR="00551A57" w:rsidRPr="002B0E2A" w:rsidRDefault="00551A57" w:rsidP="00551A57">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r w:rsidRPr="002B0E2A">
        <w:rPr>
          <w:rFonts w:ascii="Times New Roman" w:hAnsi="Times New Roman"/>
          <w:b w:val="0"/>
          <w:sz w:val="20"/>
          <w:lang w:val="en-GB"/>
        </w:rPr>
        <w:t>6.3B.1</w:t>
      </w:r>
      <w:r w:rsidRPr="002B0E2A">
        <w:rPr>
          <w:rFonts w:ascii="Times New Roman" w:hAnsi="Times New Roman"/>
          <w:b w:val="0"/>
          <w:sz w:val="20"/>
          <w:lang w:val="en-GB"/>
        </w:rPr>
        <w:tab/>
        <w:t>Output power dynamics for EN-DC with UL sharing from UE perspective</w:t>
      </w:r>
    </w:p>
    <w:p w14:paraId="19AA1BB5" w14:textId="77777777" w:rsidR="00551A57" w:rsidRPr="002B0E2A" w:rsidRDefault="00551A57" w:rsidP="00551A57">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r w:rsidRPr="002B0E2A">
        <w:rPr>
          <w:rFonts w:ascii="Times New Roman" w:hAnsi="Times New Roman"/>
          <w:b w:val="0"/>
          <w:sz w:val="20"/>
          <w:lang w:val="en-GB"/>
        </w:rPr>
        <w:lastRenderedPageBreak/>
        <w:t>6.3B.2</w:t>
      </w:r>
      <w:r w:rsidRPr="002B0E2A">
        <w:rPr>
          <w:rFonts w:ascii="Times New Roman" w:hAnsi="Times New Roman"/>
          <w:b w:val="0"/>
          <w:sz w:val="20"/>
          <w:lang w:val="en-GB"/>
        </w:rPr>
        <w:tab/>
        <w:t>Output power dynamics for intra-band EN-DC without dual PA capability</w:t>
      </w:r>
    </w:p>
    <w:p w14:paraId="2DF5AE38" w14:textId="73329153" w:rsidR="00551A57" w:rsidRDefault="00551A57" w:rsidP="00551A57">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r w:rsidRPr="002B0E2A">
        <w:rPr>
          <w:rFonts w:ascii="Times New Roman" w:hAnsi="Times New Roman"/>
          <w:b w:val="0"/>
          <w:sz w:val="20"/>
          <w:lang w:val="en-GB"/>
        </w:rPr>
        <w:t>6.3B.3</w:t>
      </w:r>
      <w:r w:rsidRPr="002B0E2A">
        <w:rPr>
          <w:rFonts w:ascii="Times New Roman" w:hAnsi="Times New Roman"/>
          <w:b w:val="0"/>
          <w:sz w:val="20"/>
          <w:lang w:val="en-GB"/>
        </w:rPr>
        <w:tab/>
        <w:t>Output power dynamics for intra-band EN-DC with dual PA capability</w:t>
      </w:r>
    </w:p>
    <w:p w14:paraId="75FE18EE" w14:textId="77777777" w:rsidR="002B0E2A" w:rsidRPr="002B0E2A" w:rsidRDefault="002B0E2A" w:rsidP="00551A57">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p>
    <w:p w14:paraId="45296E6A" w14:textId="77777777" w:rsidR="00551A57" w:rsidRPr="002B0E2A" w:rsidRDefault="00551A57" w:rsidP="00395796">
      <w:pPr>
        <w:pStyle w:val="Header"/>
        <w:widowControl/>
        <w:numPr>
          <w:ilvl w:val="0"/>
          <w:numId w:val="47"/>
        </w:numPr>
        <w:tabs>
          <w:tab w:val="center" w:pos="4153"/>
          <w:tab w:val="right" w:pos="8306"/>
        </w:tabs>
        <w:overflowPunct/>
        <w:autoSpaceDE/>
        <w:autoSpaceDN/>
        <w:adjustRightInd/>
        <w:spacing w:after="120"/>
        <w:textAlignment w:val="auto"/>
        <w:rPr>
          <w:rFonts w:ascii="Times New Roman" w:hAnsi="Times New Roman"/>
          <w:b w:val="0"/>
          <w:sz w:val="20"/>
        </w:rPr>
      </w:pPr>
      <w:r w:rsidRPr="002B0E2A">
        <w:rPr>
          <w:rFonts w:ascii="Times New Roman" w:hAnsi="Times New Roman"/>
          <w:b w:val="0"/>
          <w:sz w:val="20"/>
        </w:rPr>
        <w:t xml:space="preserve">Is it mandatory for UE to report switching time type for an intra-band contiguous EN-DC band combination via the capability </w:t>
      </w:r>
      <w:r w:rsidRPr="002B0E2A">
        <w:rPr>
          <w:rFonts w:ascii="Times New Roman" w:hAnsi="Times New Roman"/>
          <w:b w:val="0"/>
          <w:i/>
          <w:sz w:val="20"/>
        </w:rPr>
        <w:t>ul-SwitchingTimeEUTRA-NR</w:t>
      </w:r>
      <w:r w:rsidRPr="002B0E2A">
        <w:rPr>
          <w:rFonts w:ascii="Times New Roman" w:hAnsi="Times New Roman"/>
          <w:b w:val="0"/>
          <w:sz w:val="20"/>
        </w:rPr>
        <w:t xml:space="preserve"> if UE requires single UL transmission for that band combination?</w:t>
      </w:r>
    </w:p>
    <w:p w14:paraId="44F269F8" w14:textId="359C0917" w:rsidR="0024788C" w:rsidRPr="002B0E2A" w:rsidRDefault="00551A57" w:rsidP="00551A57">
      <w:pPr>
        <w:pStyle w:val="Header"/>
        <w:widowControl/>
        <w:tabs>
          <w:tab w:val="center" w:pos="4153"/>
          <w:tab w:val="right" w:pos="8306"/>
        </w:tabs>
        <w:overflowPunct/>
        <w:autoSpaceDE/>
        <w:autoSpaceDN/>
        <w:adjustRightInd/>
        <w:spacing w:after="120"/>
        <w:ind w:left="360"/>
        <w:textAlignment w:val="auto"/>
        <w:rPr>
          <w:rFonts w:ascii="Times New Roman" w:hAnsi="Times New Roman"/>
          <w:b w:val="0"/>
          <w:sz w:val="20"/>
          <w:lang w:val="en-GB"/>
        </w:rPr>
      </w:pPr>
      <w:r w:rsidRPr="002B0E2A">
        <w:rPr>
          <w:rFonts w:ascii="Times New Roman" w:hAnsi="Times New Roman"/>
          <w:sz w:val="20"/>
          <w:lang w:val="en-GB"/>
        </w:rPr>
        <w:t>Draft answer to RAN2</w:t>
      </w:r>
      <w:r w:rsidRPr="002B0E2A">
        <w:rPr>
          <w:rFonts w:ascii="Times New Roman" w:hAnsi="Times New Roman"/>
          <w:b w:val="0"/>
          <w:sz w:val="20"/>
          <w:lang w:val="en-GB"/>
        </w:rPr>
        <w:t>:</w:t>
      </w:r>
      <w:r w:rsidR="0024788C" w:rsidRPr="002B0E2A">
        <w:rPr>
          <w:rFonts w:ascii="Times New Roman" w:hAnsi="Times New Roman"/>
          <w:b w:val="0"/>
          <w:sz w:val="20"/>
          <w:lang w:val="en-GB"/>
        </w:rPr>
        <w:t xml:space="preserve"> In the current </w:t>
      </w:r>
      <w:r w:rsidRPr="002B0E2A">
        <w:rPr>
          <w:rFonts w:ascii="Times New Roman" w:hAnsi="Times New Roman"/>
          <w:b w:val="0"/>
          <w:sz w:val="20"/>
          <w:lang w:val="en-GB"/>
        </w:rPr>
        <w:t xml:space="preserve">version of TS38.101-3 only </w:t>
      </w:r>
      <w:r w:rsidR="0024788C" w:rsidRPr="002B0E2A">
        <w:rPr>
          <w:rFonts w:ascii="Times New Roman" w:hAnsi="Times New Roman"/>
          <w:b w:val="0"/>
          <w:sz w:val="20"/>
          <w:lang w:val="en-GB"/>
        </w:rPr>
        <w:t xml:space="preserve">E-UTRA and NR switching time mask requirements for </w:t>
      </w:r>
      <w:r w:rsidRPr="002B0E2A">
        <w:rPr>
          <w:rFonts w:ascii="Times New Roman" w:hAnsi="Times New Roman"/>
          <w:b w:val="0"/>
          <w:sz w:val="20"/>
          <w:lang w:val="en-GB"/>
        </w:rPr>
        <w:t>TDM based UL sharing from the UE perspective are using switching time capabilities</w:t>
      </w:r>
      <w:r w:rsidR="0024788C" w:rsidRPr="002B0E2A">
        <w:rPr>
          <w:rFonts w:ascii="Times New Roman" w:hAnsi="Times New Roman"/>
          <w:b w:val="0"/>
          <w:sz w:val="20"/>
          <w:lang w:val="en-GB"/>
        </w:rPr>
        <w:t>;</w:t>
      </w:r>
      <w:r w:rsidRPr="002B0E2A">
        <w:rPr>
          <w:rFonts w:ascii="Times New Roman" w:hAnsi="Times New Roman"/>
          <w:b w:val="0"/>
          <w:sz w:val="20"/>
          <w:lang w:val="en-GB"/>
        </w:rPr>
        <w:t xml:space="preserve"> </w:t>
      </w:r>
      <w:r w:rsidR="0024788C" w:rsidRPr="002B0E2A">
        <w:rPr>
          <w:rFonts w:ascii="Times New Roman" w:hAnsi="Times New Roman"/>
          <w:b w:val="0"/>
          <w:sz w:val="20"/>
          <w:lang w:val="en-GB"/>
        </w:rPr>
        <w:t>Type 1 and Type 2 for differentiating different UE</w:t>
      </w:r>
      <w:r w:rsidRPr="002B0E2A">
        <w:rPr>
          <w:rFonts w:ascii="Times New Roman" w:hAnsi="Times New Roman"/>
          <w:b w:val="0"/>
          <w:sz w:val="20"/>
          <w:lang w:val="en-GB"/>
        </w:rPr>
        <w:t xml:space="preserve"> E-UTRA and NR switching time </w:t>
      </w:r>
      <w:r w:rsidR="0024788C" w:rsidRPr="002B0E2A">
        <w:rPr>
          <w:rFonts w:ascii="Times New Roman" w:hAnsi="Times New Roman"/>
          <w:b w:val="0"/>
          <w:sz w:val="20"/>
          <w:lang w:val="en-GB"/>
        </w:rPr>
        <w:t xml:space="preserve">performances. Different intra-band EN-DC E-UTRA and NR switching time mask requirements are differentiated using dual PA capability. RAN4 would, however, like to note from the backwards compatibility perspective that in the December 2018 version of TS38.101-3 UE E-UTRA – NR switching time capability </w:t>
      </w:r>
      <w:r w:rsidR="00D86BC4" w:rsidRPr="002B0E2A">
        <w:rPr>
          <w:rFonts w:ascii="Times New Roman" w:hAnsi="Times New Roman"/>
          <w:b w:val="0"/>
          <w:sz w:val="20"/>
          <w:lang w:val="en-GB"/>
        </w:rPr>
        <w:t>T</w:t>
      </w:r>
      <w:r w:rsidR="0024788C" w:rsidRPr="002B0E2A">
        <w:rPr>
          <w:rFonts w:ascii="Times New Roman" w:hAnsi="Times New Roman"/>
          <w:b w:val="0"/>
          <w:sz w:val="20"/>
          <w:lang w:val="en-GB"/>
        </w:rPr>
        <w:t>ypes 1 and 2 were also used for differentiating different intra-band EN-DC E-UTRA and NR switching time mask requirements</w:t>
      </w:r>
      <w:r w:rsidR="00D86BC4" w:rsidRPr="002B0E2A">
        <w:rPr>
          <w:rFonts w:ascii="Times New Roman" w:hAnsi="Times New Roman"/>
          <w:b w:val="0"/>
          <w:sz w:val="20"/>
          <w:lang w:val="en-GB"/>
        </w:rPr>
        <w:t>.</w:t>
      </w:r>
    </w:p>
    <w:p w14:paraId="32D9A324" w14:textId="77777777" w:rsidR="00551A57" w:rsidRPr="002B0E2A" w:rsidRDefault="00551A57" w:rsidP="00551A57">
      <w:pPr>
        <w:pStyle w:val="Header"/>
        <w:widowControl/>
        <w:tabs>
          <w:tab w:val="center" w:pos="4153"/>
          <w:tab w:val="right" w:pos="8306"/>
        </w:tabs>
        <w:overflowPunct/>
        <w:autoSpaceDE/>
        <w:autoSpaceDN/>
        <w:adjustRightInd/>
        <w:spacing w:after="120"/>
        <w:ind w:left="360"/>
        <w:textAlignment w:val="auto"/>
        <w:rPr>
          <w:rFonts w:ascii="Times New Roman" w:hAnsi="Times New Roman"/>
          <w:sz w:val="20"/>
          <w:lang w:val="en-GB"/>
        </w:rPr>
      </w:pPr>
    </w:p>
    <w:p w14:paraId="6BBF9AB2" w14:textId="77777777" w:rsidR="004100A9" w:rsidRPr="00395796" w:rsidRDefault="004100A9" w:rsidP="004100A9">
      <w:pPr>
        <w:pStyle w:val="Heading1"/>
        <w:rPr>
          <w:lang w:val="en-US"/>
        </w:rPr>
      </w:pPr>
      <w:r w:rsidRPr="00395796">
        <w:rPr>
          <w:lang w:val="en-US"/>
        </w:rPr>
        <w:t>Conclusions</w:t>
      </w:r>
      <w:bookmarkStart w:id="2" w:name="_GoBack"/>
      <w:bookmarkEnd w:id="2"/>
    </w:p>
    <w:p w14:paraId="52F64093" w14:textId="18C95FF4" w:rsidR="00D86BC4" w:rsidRPr="002B0E2A" w:rsidRDefault="00D86BC4" w:rsidP="00D86BC4">
      <w:r w:rsidRPr="002B0E2A">
        <w:t>In this contribution we have discussed the RAN2 questions to RAN4 in [1]. Based on the discussion we propose that RAN4 will provide the following answers to RAN2:</w:t>
      </w:r>
    </w:p>
    <w:p w14:paraId="5121FAFB" w14:textId="77777777" w:rsidR="00D86BC4" w:rsidRPr="002B0E2A" w:rsidRDefault="00D86BC4" w:rsidP="00D86BC4">
      <w:pPr>
        <w:pStyle w:val="Header"/>
        <w:widowControl/>
        <w:numPr>
          <w:ilvl w:val="0"/>
          <w:numId w:val="46"/>
        </w:numPr>
        <w:tabs>
          <w:tab w:val="center" w:pos="4153"/>
          <w:tab w:val="right" w:pos="8306"/>
        </w:tabs>
        <w:overflowPunct/>
        <w:autoSpaceDE/>
        <w:autoSpaceDN/>
        <w:adjustRightInd/>
        <w:spacing w:after="120"/>
        <w:textAlignment w:val="auto"/>
        <w:rPr>
          <w:rFonts w:ascii="Times New Roman" w:hAnsi="Times New Roman"/>
          <w:b w:val="0"/>
          <w:sz w:val="20"/>
        </w:rPr>
      </w:pPr>
      <w:r w:rsidRPr="002B0E2A">
        <w:rPr>
          <w:rFonts w:ascii="Times New Roman" w:hAnsi="Times New Roman"/>
          <w:b w:val="0"/>
          <w:sz w:val="20"/>
        </w:rPr>
        <w:t>Is the shared E-UTRA-NR FDD carrier supported in RAN4, i.e. the case where both FDD DL carrier and FDD UL carrier are shared from UE perspective by E-UTRA and NR?</w:t>
      </w:r>
    </w:p>
    <w:p w14:paraId="1FA645E1" w14:textId="46C8C4C9" w:rsidR="00D86BC4" w:rsidRPr="002B0E2A" w:rsidRDefault="00D86BC4" w:rsidP="00D86BC4">
      <w:pPr>
        <w:pStyle w:val="Header"/>
        <w:widowControl/>
        <w:tabs>
          <w:tab w:val="center" w:pos="4153"/>
          <w:tab w:val="right" w:pos="8306"/>
        </w:tabs>
        <w:overflowPunct/>
        <w:autoSpaceDE/>
        <w:autoSpaceDN/>
        <w:adjustRightInd/>
        <w:spacing w:after="120"/>
        <w:ind w:left="360"/>
        <w:textAlignment w:val="auto"/>
        <w:rPr>
          <w:rFonts w:ascii="Times New Roman" w:hAnsi="Times New Roman"/>
          <w:b w:val="0"/>
          <w:sz w:val="20"/>
        </w:rPr>
      </w:pPr>
      <w:r w:rsidRPr="002B0E2A">
        <w:rPr>
          <w:rFonts w:ascii="Times New Roman" w:hAnsi="Times New Roman"/>
          <w:sz w:val="20"/>
        </w:rPr>
        <w:t>Draft answer to RAN2</w:t>
      </w:r>
      <w:r w:rsidRPr="002B0E2A">
        <w:rPr>
          <w:rFonts w:ascii="Times New Roman" w:hAnsi="Times New Roman"/>
          <w:b w:val="0"/>
          <w:sz w:val="20"/>
        </w:rPr>
        <w:t xml:space="preserve">: Yes, RAN4 has defined UL carrier sharing including UL sharing from the UE perspective both for SUL and FDD bands. DL carrier sharing is introduced by RAN1 related UE features and capabilities and thus, transparent in the RAN4 specifications. </w:t>
      </w:r>
    </w:p>
    <w:p w14:paraId="48D38DBF" w14:textId="77777777" w:rsidR="00D86BC4" w:rsidRPr="002B0E2A" w:rsidRDefault="00D86BC4" w:rsidP="00D86BC4">
      <w:pPr>
        <w:pStyle w:val="Header"/>
        <w:widowControl/>
        <w:numPr>
          <w:ilvl w:val="0"/>
          <w:numId w:val="46"/>
        </w:numPr>
        <w:tabs>
          <w:tab w:val="center" w:pos="4153"/>
          <w:tab w:val="right" w:pos="8306"/>
        </w:tabs>
        <w:overflowPunct/>
        <w:autoSpaceDE/>
        <w:autoSpaceDN/>
        <w:adjustRightInd/>
        <w:spacing w:after="120"/>
        <w:textAlignment w:val="auto"/>
        <w:rPr>
          <w:rFonts w:ascii="Times New Roman" w:hAnsi="Times New Roman"/>
          <w:b w:val="0"/>
          <w:sz w:val="20"/>
        </w:rPr>
      </w:pPr>
      <w:r w:rsidRPr="002B0E2A">
        <w:rPr>
          <w:rFonts w:ascii="Times New Roman" w:hAnsi="Times New Roman"/>
          <w:b w:val="0"/>
          <w:sz w:val="20"/>
        </w:rPr>
        <w:t>Does the UL sharing from UE perspective need to be supported together with any DL sharing capabilities that are required the shared E-UTRA-NR FDD carrier case?</w:t>
      </w:r>
    </w:p>
    <w:p w14:paraId="76F1BD63" w14:textId="5AFE874C" w:rsidR="00D86BC4" w:rsidRPr="002B0E2A" w:rsidRDefault="00DF4C02" w:rsidP="00395796">
      <w:pPr>
        <w:pStyle w:val="Header"/>
        <w:widowControl/>
        <w:tabs>
          <w:tab w:val="center" w:pos="4153"/>
          <w:tab w:val="right" w:pos="8306"/>
        </w:tabs>
        <w:overflowPunct/>
        <w:autoSpaceDE/>
        <w:autoSpaceDN/>
        <w:adjustRightInd/>
        <w:spacing w:after="120"/>
        <w:ind w:left="360"/>
        <w:textAlignment w:val="auto"/>
        <w:rPr>
          <w:rFonts w:ascii="Times New Roman" w:hAnsi="Times New Roman"/>
          <w:b w:val="0"/>
          <w:sz w:val="20"/>
        </w:rPr>
      </w:pPr>
      <w:r w:rsidRPr="00D86BC4">
        <w:rPr>
          <w:rFonts w:ascii="Times New Roman" w:hAnsi="Times New Roman"/>
          <w:sz w:val="20"/>
        </w:rPr>
        <w:t>Draft answer to RAN2</w:t>
      </w:r>
      <w:r w:rsidRPr="00D86BC4">
        <w:rPr>
          <w:rFonts w:ascii="Times New Roman" w:hAnsi="Times New Roman"/>
          <w:b w:val="0"/>
          <w:sz w:val="20"/>
        </w:rPr>
        <w:t>: Yes, for enabling EN-DC operations with shared DL and UL E-UTRA - NR carriers for the E-UTRA and NR FDD bands</w:t>
      </w:r>
      <w:r>
        <w:rPr>
          <w:rFonts w:ascii="Times New Roman" w:hAnsi="Times New Roman"/>
          <w:b w:val="0"/>
          <w:sz w:val="20"/>
        </w:rPr>
        <w:t xml:space="preserve"> </w:t>
      </w:r>
      <w:r w:rsidRPr="00D86BC4">
        <w:rPr>
          <w:rFonts w:ascii="Times New Roman" w:hAnsi="Times New Roman"/>
          <w:b w:val="0"/>
          <w:sz w:val="20"/>
        </w:rPr>
        <w:t>UE capabilities for</w:t>
      </w:r>
      <w:r>
        <w:rPr>
          <w:rFonts w:ascii="Times New Roman" w:hAnsi="Times New Roman"/>
          <w:b w:val="0"/>
          <w:sz w:val="20"/>
        </w:rPr>
        <w:t xml:space="preserve"> both</w:t>
      </w:r>
      <w:r w:rsidRPr="00D86BC4">
        <w:rPr>
          <w:rFonts w:ascii="Times New Roman" w:hAnsi="Times New Roman"/>
          <w:b w:val="0"/>
          <w:sz w:val="20"/>
        </w:rPr>
        <w:t xml:space="preserve"> DL sharing and UL sharing from the UE perspective need to be supported by the UE. This can</w:t>
      </w:r>
      <w:r>
        <w:rPr>
          <w:rFonts w:ascii="Times New Roman" w:hAnsi="Times New Roman"/>
          <w:b w:val="0"/>
          <w:sz w:val="20"/>
        </w:rPr>
        <w:t xml:space="preserve"> be</w:t>
      </w:r>
      <w:r w:rsidRPr="00D86BC4">
        <w:rPr>
          <w:rFonts w:ascii="Times New Roman" w:hAnsi="Times New Roman"/>
          <w:b w:val="0"/>
          <w:sz w:val="20"/>
        </w:rPr>
        <w:t xml:space="preserve"> achieved e.g. using rateMatchingLTE-CRS for DL sharing and ul-SharingEUTRA-NR for UL sharing.</w:t>
      </w:r>
    </w:p>
    <w:p w14:paraId="3ED13309" w14:textId="77777777" w:rsidR="00D86BC4" w:rsidRPr="002B0E2A" w:rsidRDefault="00D86BC4" w:rsidP="00395796">
      <w:pPr>
        <w:pStyle w:val="Header"/>
        <w:widowControl/>
        <w:numPr>
          <w:ilvl w:val="0"/>
          <w:numId w:val="48"/>
        </w:numPr>
        <w:tabs>
          <w:tab w:val="center" w:pos="4153"/>
          <w:tab w:val="right" w:pos="8306"/>
        </w:tabs>
        <w:overflowPunct/>
        <w:autoSpaceDE/>
        <w:autoSpaceDN/>
        <w:adjustRightInd/>
        <w:spacing w:after="120"/>
        <w:textAlignment w:val="auto"/>
        <w:rPr>
          <w:rFonts w:ascii="Times New Roman" w:hAnsi="Times New Roman"/>
          <w:b w:val="0"/>
          <w:sz w:val="20"/>
        </w:rPr>
      </w:pPr>
      <w:r w:rsidRPr="002B0E2A">
        <w:rPr>
          <w:rFonts w:ascii="Times New Roman" w:hAnsi="Times New Roman"/>
          <w:b w:val="0"/>
          <w:sz w:val="20"/>
        </w:rPr>
        <w:t xml:space="preserve">How should RAN2 refer to RAN4 specification to indicate conditions when UE is required to support </w:t>
      </w:r>
      <w:r w:rsidRPr="002B0E2A">
        <w:rPr>
          <w:rFonts w:ascii="Times New Roman" w:hAnsi="Times New Roman"/>
          <w:b w:val="0"/>
          <w:i/>
          <w:sz w:val="20"/>
        </w:rPr>
        <w:t>ul-SwitchingTimeEUTRA-NR</w:t>
      </w:r>
      <w:r w:rsidRPr="002B0E2A">
        <w:rPr>
          <w:rFonts w:ascii="Times New Roman" w:hAnsi="Times New Roman"/>
          <w:b w:val="0"/>
          <w:sz w:val="20"/>
        </w:rPr>
        <w:t xml:space="preserve">? Specifically, does the </w:t>
      </w:r>
      <w:r w:rsidRPr="002B0E2A">
        <w:rPr>
          <w:rFonts w:ascii="Times New Roman" w:hAnsi="Times New Roman"/>
          <w:b w:val="0"/>
          <w:i/>
          <w:sz w:val="20"/>
        </w:rPr>
        <w:t>ul-SwitchingTimeEUTRA-NR</w:t>
      </w:r>
      <w:r w:rsidRPr="002B0E2A">
        <w:rPr>
          <w:rFonts w:ascii="Times New Roman" w:hAnsi="Times New Roman"/>
          <w:b w:val="0"/>
          <w:sz w:val="20"/>
        </w:rPr>
        <w:t xml:space="preserve"> apply to both TDM based E-UTRA-NR in UL sharing from UE perspective and intra-band contiguous scenario in adjacent channels when single UL transmission is allowed between E-UTRA and NR UL?</w:t>
      </w:r>
    </w:p>
    <w:p w14:paraId="61DFD220" w14:textId="77777777" w:rsidR="002B0E2A" w:rsidRPr="002B0E2A" w:rsidRDefault="002B0E2A" w:rsidP="002B0E2A">
      <w:pPr>
        <w:pStyle w:val="Header"/>
        <w:widowControl/>
        <w:tabs>
          <w:tab w:val="center" w:pos="4153"/>
          <w:tab w:val="right" w:pos="8306"/>
        </w:tabs>
        <w:overflowPunct/>
        <w:autoSpaceDE/>
        <w:autoSpaceDN/>
        <w:adjustRightInd/>
        <w:spacing w:after="120"/>
        <w:ind w:left="360"/>
        <w:textAlignment w:val="auto"/>
        <w:rPr>
          <w:rFonts w:ascii="Times New Roman" w:hAnsi="Times New Roman"/>
          <w:b w:val="0"/>
          <w:sz w:val="20"/>
        </w:rPr>
      </w:pPr>
      <w:r w:rsidRPr="002B0E2A">
        <w:rPr>
          <w:rFonts w:ascii="Times New Roman" w:hAnsi="Times New Roman"/>
          <w:sz w:val="20"/>
        </w:rPr>
        <w:t>Draft answer to RAN2</w:t>
      </w:r>
      <w:r w:rsidRPr="002B0E2A">
        <w:rPr>
          <w:rFonts w:ascii="Times New Roman" w:hAnsi="Times New Roman"/>
          <w:b w:val="0"/>
          <w:sz w:val="20"/>
        </w:rPr>
        <w:t xml:space="preserve">: E-UTRA and NR switching time mask requirements are defined in the sub-sections of  Section </w:t>
      </w:r>
      <w:r w:rsidRPr="002B0E2A">
        <w:rPr>
          <w:rFonts w:ascii="Times New Roman" w:hAnsi="Times New Roman"/>
          <w:b w:val="0"/>
          <w:sz w:val="20"/>
          <w:lang w:val="en-GB"/>
        </w:rPr>
        <w:t xml:space="preserve">6.3 ‘Output power dynamics’ of TS38.101-3. </w:t>
      </w:r>
      <w:r w:rsidRPr="002B0E2A">
        <w:rPr>
          <w:rFonts w:ascii="Times New Roman" w:hAnsi="Times New Roman"/>
          <w:b w:val="0"/>
          <w:sz w:val="20"/>
        </w:rPr>
        <w:t xml:space="preserve">The following three different types of E-UTRA and NR switching time mask requirements are defined in the March 2019 version of TS38.101-3; </w:t>
      </w:r>
    </w:p>
    <w:p w14:paraId="628D0531" w14:textId="77777777" w:rsidR="002B0E2A" w:rsidRPr="002B0E2A" w:rsidRDefault="002B0E2A" w:rsidP="002B0E2A">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r w:rsidRPr="002B0E2A">
        <w:rPr>
          <w:rFonts w:ascii="Times New Roman" w:hAnsi="Times New Roman"/>
          <w:b w:val="0"/>
          <w:sz w:val="20"/>
          <w:lang w:val="en-GB"/>
        </w:rPr>
        <w:t>6.3B.1</w:t>
      </w:r>
      <w:r w:rsidRPr="002B0E2A">
        <w:rPr>
          <w:rFonts w:ascii="Times New Roman" w:hAnsi="Times New Roman"/>
          <w:b w:val="0"/>
          <w:sz w:val="20"/>
          <w:lang w:val="en-GB"/>
        </w:rPr>
        <w:tab/>
        <w:t>Output power dynamics for EN-DC with UL sharing from UE perspective</w:t>
      </w:r>
    </w:p>
    <w:p w14:paraId="570D1466" w14:textId="77777777" w:rsidR="002B0E2A" w:rsidRPr="002B0E2A" w:rsidRDefault="002B0E2A" w:rsidP="002B0E2A">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r w:rsidRPr="002B0E2A">
        <w:rPr>
          <w:rFonts w:ascii="Times New Roman" w:hAnsi="Times New Roman"/>
          <w:b w:val="0"/>
          <w:sz w:val="20"/>
          <w:lang w:val="en-GB"/>
        </w:rPr>
        <w:t>6.3B.2</w:t>
      </w:r>
      <w:r w:rsidRPr="002B0E2A">
        <w:rPr>
          <w:rFonts w:ascii="Times New Roman" w:hAnsi="Times New Roman"/>
          <w:b w:val="0"/>
          <w:sz w:val="20"/>
          <w:lang w:val="en-GB"/>
        </w:rPr>
        <w:tab/>
        <w:t>Output power dynamics for intra-band EN-DC without dual PA capability</w:t>
      </w:r>
    </w:p>
    <w:p w14:paraId="2BD4609A" w14:textId="77777777" w:rsidR="002B0E2A" w:rsidRDefault="002B0E2A" w:rsidP="002B0E2A">
      <w:pPr>
        <w:pStyle w:val="Header"/>
        <w:widowControl/>
        <w:tabs>
          <w:tab w:val="center" w:pos="4153"/>
          <w:tab w:val="right" w:pos="8306"/>
        </w:tabs>
        <w:overflowPunct/>
        <w:autoSpaceDE/>
        <w:autoSpaceDN/>
        <w:adjustRightInd/>
        <w:spacing w:after="120"/>
        <w:ind w:left="568"/>
        <w:textAlignment w:val="auto"/>
        <w:rPr>
          <w:rFonts w:ascii="Times New Roman" w:hAnsi="Times New Roman"/>
          <w:b w:val="0"/>
          <w:sz w:val="20"/>
          <w:lang w:val="en-GB"/>
        </w:rPr>
      </w:pPr>
      <w:r w:rsidRPr="002B0E2A">
        <w:rPr>
          <w:rFonts w:ascii="Times New Roman" w:hAnsi="Times New Roman"/>
          <w:b w:val="0"/>
          <w:sz w:val="20"/>
          <w:lang w:val="en-GB"/>
        </w:rPr>
        <w:t>6.3B.3</w:t>
      </w:r>
      <w:r w:rsidRPr="002B0E2A">
        <w:rPr>
          <w:rFonts w:ascii="Times New Roman" w:hAnsi="Times New Roman"/>
          <w:b w:val="0"/>
          <w:sz w:val="20"/>
          <w:lang w:val="en-GB"/>
        </w:rPr>
        <w:tab/>
        <w:t>Output power dynamics for intra-band EN-DC with dual PA capability</w:t>
      </w:r>
    </w:p>
    <w:p w14:paraId="4FC9E1AD" w14:textId="77777777" w:rsidR="00D86BC4" w:rsidRPr="002B0E2A" w:rsidRDefault="00D86BC4" w:rsidP="00395796">
      <w:pPr>
        <w:pStyle w:val="Header"/>
        <w:widowControl/>
        <w:numPr>
          <w:ilvl w:val="0"/>
          <w:numId w:val="48"/>
        </w:numPr>
        <w:tabs>
          <w:tab w:val="center" w:pos="4153"/>
          <w:tab w:val="right" w:pos="8306"/>
        </w:tabs>
        <w:overflowPunct/>
        <w:autoSpaceDE/>
        <w:autoSpaceDN/>
        <w:adjustRightInd/>
        <w:spacing w:after="120"/>
        <w:textAlignment w:val="auto"/>
        <w:rPr>
          <w:rFonts w:ascii="Times New Roman" w:hAnsi="Times New Roman"/>
          <w:b w:val="0"/>
          <w:sz w:val="20"/>
        </w:rPr>
      </w:pPr>
      <w:r w:rsidRPr="002B0E2A">
        <w:rPr>
          <w:rFonts w:ascii="Times New Roman" w:hAnsi="Times New Roman"/>
          <w:b w:val="0"/>
          <w:sz w:val="20"/>
        </w:rPr>
        <w:t xml:space="preserve">Is it mandatory for UE to report switching time type for an intra-band contiguous EN-DC band combination via the capability </w:t>
      </w:r>
      <w:r w:rsidRPr="002B0E2A">
        <w:rPr>
          <w:rFonts w:ascii="Times New Roman" w:hAnsi="Times New Roman"/>
          <w:b w:val="0"/>
          <w:i/>
          <w:sz w:val="20"/>
        </w:rPr>
        <w:t>ul-SwitchingTimeEUTRA-NR</w:t>
      </w:r>
      <w:r w:rsidRPr="002B0E2A">
        <w:rPr>
          <w:rFonts w:ascii="Times New Roman" w:hAnsi="Times New Roman"/>
          <w:b w:val="0"/>
          <w:sz w:val="20"/>
        </w:rPr>
        <w:t xml:space="preserve"> if UE requires single UL transmission for that band combination?</w:t>
      </w:r>
    </w:p>
    <w:p w14:paraId="1E50A8DC" w14:textId="787BC7A8" w:rsidR="002B0E2A" w:rsidRPr="002B0E2A" w:rsidRDefault="002B0E2A" w:rsidP="002B0E2A">
      <w:pPr>
        <w:pStyle w:val="Header"/>
        <w:widowControl/>
        <w:tabs>
          <w:tab w:val="center" w:pos="4153"/>
          <w:tab w:val="right" w:pos="8306"/>
        </w:tabs>
        <w:overflowPunct/>
        <w:autoSpaceDE/>
        <w:autoSpaceDN/>
        <w:adjustRightInd/>
        <w:spacing w:after="120"/>
        <w:ind w:left="360"/>
        <w:textAlignment w:val="auto"/>
        <w:rPr>
          <w:rFonts w:ascii="Times New Roman" w:hAnsi="Times New Roman"/>
          <w:b w:val="0"/>
          <w:sz w:val="20"/>
          <w:lang w:val="en-GB"/>
        </w:rPr>
      </w:pPr>
      <w:r w:rsidRPr="002B0E2A">
        <w:rPr>
          <w:rFonts w:ascii="Times New Roman" w:hAnsi="Times New Roman"/>
          <w:sz w:val="20"/>
          <w:lang w:val="en-GB"/>
        </w:rPr>
        <w:t>Draft answer to RAN2</w:t>
      </w:r>
      <w:r w:rsidRPr="002B0E2A">
        <w:rPr>
          <w:rFonts w:ascii="Times New Roman" w:hAnsi="Times New Roman"/>
          <w:b w:val="0"/>
          <w:sz w:val="20"/>
          <w:lang w:val="en-GB"/>
        </w:rPr>
        <w:t>: In the current version of TS38.101-3 only E-UTRA and NR switching time mask requirements for TDM based UL sharing from the UE perspective are using switching time capabilities; Type 1 and Type 2 for differentiating different UE E-UTRA and NR switching time performances. Different intra-band EN-DC E-UTRA and NR switching time mask requirements are differentiated using dual PA capability. RAN4 would, however, like to note from the backwards compatibility perspective that in the December 2018 version of TS38.101-3 UE E-UTRA – NR switching time capability Types 1 and 2 were also used for differentiating different intra-band EN-DC E-UTRA and NR switching time mask requirements.</w:t>
      </w:r>
    </w:p>
    <w:p w14:paraId="0072DA01" w14:textId="7A4D506B" w:rsidR="00D86BC4" w:rsidRPr="002B0E2A" w:rsidRDefault="00D86BC4" w:rsidP="00D86BC4">
      <w:pPr>
        <w:pStyle w:val="Header"/>
        <w:widowControl/>
        <w:tabs>
          <w:tab w:val="center" w:pos="4153"/>
          <w:tab w:val="right" w:pos="8306"/>
        </w:tabs>
        <w:overflowPunct/>
        <w:autoSpaceDE/>
        <w:autoSpaceDN/>
        <w:adjustRightInd/>
        <w:spacing w:after="120"/>
        <w:ind w:left="360"/>
        <w:textAlignment w:val="auto"/>
        <w:rPr>
          <w:rFonts w:ascii="Times New Roman" w:hAnsi="Times New Roman"/>
          <w:sz w:val="20"/>
          <w:lang w:val="en-GB"/>
        </w:rPr>
      </w:pPr>
    </w:p>
    <w:p w14:paraId="44A907FE" w14:textId="77777777" w:rsidR="005E65B8" w:rsidRPr="002B0E2A" w:rsidRDefault="005E65B8" w:rsidP="00552705"/>
    <w:p w14:paraId="53CD9119" w14:textId="77777777" w:rsidR="00885580" w:rsidRPr="002B0E2A" w:rsidRDefault="00885580" w:rsidP="00885580">
      <w:pPr>
        <w:pStyle w:val="Heading1"/>
        <w:numPr>
          <w:ilvl w:val="0"/>
          <w:numId w:val="0"/>
        </w:numPr>
        <w:rPr>
          <w:rFonts w:ascii="Times New Roman" w:hAnsi="Times New Roman"/>
        </w:rPr>
      </w:pPr>
      <w:r w:rsidRPr="002B0E2A">
        <w:rPr>
          <w:rFonts w:ascii="Times New Roman" w:hAnsi="Times New Roman"/>
        </w:rPr>
        <w:lastRenderedPageBreak/>
        <w:t>References</w:t>
      </w:r>
    </w:p>
    <w:p w14:paraId="66953EAC" w14:textId="4D677B7F" w:rsidR="00F93346" w:rsidRPr="002B0E2A" w:rsidRDefault="002140DE" w:rsidP="00B52E3A">
      <w:r w:rsidRPr="002B0E2A">
        <w:t xml:space="preserve">[1] </w:t>
      </w:r>
      <w:r w:rsidR="00B52E3A" w:rsidRPr="002B0E2A">
        <w:t>R4-1902816, LS on UL sharing applicability in different scenarios</w:t>
      </w:r>
      <w:r w:rsidR="00B52E3A" w:rsidRPr="002B0E2A">
        <w:tab/>
        <w:t>RAN2, Nokia</w:t>
      </w:r>
    </w:p>
    <w:p w14:paraId="7FFC7C53" w14:textId="141F1F36" w:rsidR="002140DE" w:rsidRPr="000D7F54" w:rsidRDefault="00B52E3A" w:rsidP="002976A4">
      <w:pPr>
        <w:tabs>
          <w:tab w:val="num" w:pos="720"/>
        </w:tabs>
      </w:pPr>
      <w:r w:rsidRPr="002B0E2A">
        <w:t xml:space="preserve">[2] </w:t>
      </w:r>
      <w:r w:rsidR="005E65B8" w:rsidRPr="002B0E2A">
        <w:t xml:space="preserve">RP-190704, </w:t>
      </w:r>
      <w:r w:rsidR="00627D31" w:rsidRPr="002B0E2A">
        <w:rPr>
          <w:lang w:val="en-US"/>
        </w:rPr>
        <w:t>RAN4 UE feature list for REL-15 NR</w:t>
      </w:r>
      <w:r w:rsidRPr="002B0E2A">
        <w:rPr>
          <w:lang w:val="en-US"/>
        </w:rPr>
        <w:t>, NTT Docomo</w:t>
      </w:r>
    </w:p>
    <w:sectPr w:rsidR="002140DE" w:rsidRPr="000D7F54" w:rsidSect="007D4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E410B" w14:textId="77777777" w:rsidR="0096479E" w:rsidRDefault="0096479E">
      <w:r>
        <w:separator/>
      </w:r>
    </w:p>
  </w:endnote>
  <w:endnote w:type="continuationSeparator" w:id="0">
    <w:p w14:paraId="64071295" w14:textId="77777777" w:rsidR="0096479E" w:rsidRDefault="0096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F941E" w14:textId="77777777" w:rsidR="0096479E" w:rsidRDefault="0096479E">
      <w:r>
        <w:separator/>
      </w:r>
    </w:p>
  </w:footnote>
  <w:footnote w:type="continuationSeparator" w:id="0">
    <w:p w14:paraId="01729BFA" w14:textId="77777777" w:rsidR="0096479E" w:rsidRDefault="0096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F7599"/>
    <w:multiLevelType w:val="hybridMultilevel"/>
    <w:tmpl w:val="EBE68564"/>
    <w:lvl w:ilvl="0" w:tplc="0809000F">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3A631AB"/>
    <w:multiLevelType w:val="hybridMultilevel"/>
    <w:tmpl w:val="421C91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50470"/>
    <w:multiLevelType w:val="hybridMultilevel"/>
    <w:tmpl w:val="E39A1C56"/>
    <w:lvl w:ilvl="0" w:tplc="29C24132">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84156F"/>
    <w:multiLevelType w:val="hybridMultilevel"/>
    <w:tmpl w:val="EBE68564"/>
    <w:lvl w:ilvl="0" w:tplc="0809000F">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D116BB"/>
    <w:multiLevelType w:val="hybridMultilevel"/>
    <w:tmpl w:val="55367926"/>
    <w:lvl w:ilvl="0" w:tplc="1E4CC950">
      <w:start w:val="1"/>
      <w:numFmt w:val="bullet"/>
      <w:lvlText w:val="•"/>
      <w:lvlJc w:val="left"/>
      <w:pPr>
        <w:tabs>
          <w:tab w:val="num" w:pos="720"/>
        </w:tabs>
        <w:ind w:left="720" w:hanging="360"/>
      </w:pPr>
      <w:rPr>
        <w:rFonts w:ascii="Arial" w:hAnsi="Arial" w:hint="default"/>
      </w:rPr>
    </w:lvl>
    <w:lvl w:ilvl="1" w:tplc="7B641146">
      <w:start w:val="34"/>
      <w:numFmt w:val="bullet"/>
      <w:lvlText w:val="•"/>
      <w:lvlJc w:val="left"/>
      <w:pPr>
        <w:tabs>
          <w:tab w:val="num" w:pos="1440"/>
        </w:tabs>
        <w:ind w:left="1440" w:hanging="360"/>
      </w:pPr>
      <w:rPr>
        <w:rFonts w:ascii="Arial" w:hAnsi="Arial" w:hint="default"/>
      </w:rPr>
    </w:lvl>
    <w:lvl w:ilvl="2" w:tplc="0E52B95E" w:tentative="1">
      <w:start w:val="1"/>
      <w:numFmt w:val="bullet"/>
      <w:lvlText w:val="•"/>
      <w:lvlJc w:val="left"/>
      <w:pPr>
        <w:tabs>
          <w:tab w:val="num" w:pos="2160"/>
        </w:tabs>
        <w:ind w:left="2160" w:hanging="360"/>
      </w:pPr>
      <w:rPr>
        <w:rFonts w:ascii="Arial" w:hAnsi="Arial" w:hint="default"/>
      </w:rPr>
    </w:lvl>
    <w:lvl w:ilvl="3" w:tplc="BB42643A" w:tentative="1">
      <w:start w:val="1"/>
      <w:numFmt w:val="bullet"/>
      <w:lvlText w:val="•"/>
      <w:lvlJc w:val="left"/>
      <w:pPr>
        <w:tabs>
          <w:tab w:val="num" w:pos="2880"/>
        </w:tabs>
        <w:ind w:left="2880" w:hanging="360"/>
      </w:pPr>
      <w:rPr>
        <w:rFonts w:ascii="Arial" w:hAnsi="Arial" w:hint="default"/>
      </w:rPr>
    </w:lvl>
    <w:lvl w:ilvl="4" w:tplc="78528532" w:tentative="1">
      <w:start w:val="1"/>
      <w:numFmt w:val="bullet"/>
      <w:lvlText w:val="•"/>
      <w:lvlJc w:val="left"/>
      <w:pPr>
        <w:tabs>
          <w:tab w:val="num" w:pos="3600"/>
        </w:tabs>
        <w:ind w:left="3600" w:hanging="360"/>
      </w:pPr>
      <w:rPr>
        <w:rFonts w:ascii="Arial" w:hAnsi="Arial" w:hint="default"/>
      </w:rPr>
    </w:lvl>
    <w:lvl w:ilvl="5" w:tplc="681ED26E" w:tentative="1">
      <w:start w:val="1"/>
      <w:numFmt w:val="bullet"/>
      <w:lvlText w:val="•"/>
      <w:lvlJc w:val="left"/>
      <w:pPr>
        <w:tabs>
          <w:tab w:val="num" w:pos="4320"/>
        </w:tabs>
        <w:ind w:left="4320" w:hanging="360"/>
      </w:pPr>
      <w:rPr>
        <w:rFonts w:ascii="Arial" w:hAnsi="Arial" w:hint="default"/>
      </w:rPr>
    </w:lvl>
    <w:lvl w:ilvl="6" w:tplc="42D0B2EC" w:tentative="1">
      <w:start w:val="1"/>
      <w:numFmt w:val="bullet"/>
      <w:lvlText w:val="•"/>
      <w:lvlJc w:val="left"/>
      <w:pPr>
        <w:tabs>
          <w:tab w:val="num" w:pos="5040"/>
        </w:tabs>
        <w:ind w:left="5040" w:hanging="360"/>
      </w:pPr>
      <w:rPr>
        <w:rFonts w:ascii="Arial" w:hAnsi="Arial" w:hint="default"/>
      </w:rPr>
    </w:lvl>
    <w:lvl w:ilvl="7" w:tplc="8D56904E" w:tentative="1">
      <w:start w:val="1"/>
      <w:numFmt w:val="bullet"/>
      <w:lvlText w:val="•"/>
      <w:lvlJc w:val="left"/>
      <w:pPr>
        <w:tabs>
          <w:tab w:val="num" w:pos="5760"/>
        </w:tabs>
        <w:ind w:left="5760" w:hanging="360"/>
      </w:pPr>
      <w:rPr>
        <w:rFonts w:ascii="Arial" w:hAnsi="Arial" w:hint="default"/>
      </w:rPr>
    </w:lvl>
    <w:lvl w:ilvl="8" w:tplc="959C02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BB1F10"/>
    <w:multiLevelType w:val="hybridMultilevel"/>
    <w:tmpl w:val="B48CE4F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0"/>
  </w:num>
  <w:num w:numId="4">
    <w:abstractNumId w:val="4"/>
  </w:num>
  <w:num w:numId="5">
    <w:abstractNumId w:val="16"/>
  </w:num>
  <w:num w:numId="6">
    <w:abstractNumId w:val="33"/>
  </w:num>
  <w:num w:numId="7">
    <w:abstractNumId w:val="18"/>
  </w:num>
  <w:num w:numId="8">
    <w:abstractNumId w:val="14"/>
  </w:num>
  <w:num w:numId="9">
    <w:abstractNumId w:val="41"/>
  </w:num>
  <w:num w:numId="10">
    <w:abstractNumId w:val="7"/>
  </w:num>
  <w:num w:numId="11">
    <w:abstractNumId w:val="20"/>
  </w:num>
  <w:num w:numId="12">
    <w:abstractNumId w:val="6"/>
  </w:num>
  <w:num w:numId="13">
    <w:abstractNumId w:val="12"/>
  </w:num>
  <w:num w:numId="14">
    <w:abstractNumId w:val="22"/>
  </w:num>
  <w:num w:numId="15">
    <w:abstractNumId w:val="12"/>
  </w:num>
  <w:num w:numId="16">
    <w:abstractNumId w:val="23"/>
  </w:num>
  <w:num w:numId="17">
    <w:abstractNumId w:val="10"/>
  </w:num>
  <w:num w:numId="18">
    <w:abstractNumId w:val="3"/>
  </w:num>
  <w:num w:numId="19">
    <w:abstractNumId w:val="12"/>
  </w:num>
  <w:num w:numId="20">
    <w:abstractNumId w:val="12"/>
  </w:num>
  <w:num w:numId="21">
    <w:abstractNumId w:val="27"/>
  </w:num>
  <w:num w:numId="22">
    <w:abstractNumId w:val="28"/>
  </w:num>
  <w:num w:numId="23">
    <w:abstractNumId w:val="15"/>
  </w:num>
  <w:num w:numId="24">
    <w:abstractNumId w:val="24"/>
  </w:num>
  <w:num w:numId="25">
    <w:abstractNumId w:val="9"/>
  </w:num>
  <w:num w:numId="26">
    <w:abstractNumId w:val="2"/>
  </w:num>
  <w:num w:numId="27">
    <w:abstractNumId w:val="43"/>
  </w:num>
  <w:num w:numId="28">
    <w:abstractNumId w:val="36"/>
  </w:num>
  <w:num w:numId="29">
    <w:abstractNumId w:val="42"/>
  </w:num>
  <w:num w:numId="30">
    <w:abstractNumId w:val="39"/>
  </w:num>
  <w:num w:numId="31">
    <w:abstractNumId w:val="38"/>
  </w:num>
  <w:num w:numId="32">
    <w:abstractNumId w:val="1"/>
  </w:num>
  <w:num w:numId="33">
    <w:abstractNumId w:val="34"/>
  </w:num>
  <w:num w:numId="34">
    <w:abstractNumId w:val="35"/>
  </w:num>
  <w:num w:numId="35">
    <w:abstractNumId w:val="30"/>
  </w:num>
  <w:num w:numId="36">
    <w:abstractNumId w:val="11"/>
  </w:num>
  <w:num w:numId="37">
    <w:abstractNumId w:val="25"/>
  </w:num>
  <w:num w:numId="38">
    <w:abstractNumId w:val="21"/>
  </w:num>
  <w:num w:numId="39">
    <w:abstractNumId w:val="40"/>
  </w:num>
  <w:num w:numId="40">
    <w:abstractNumId w:val="19"/>
    <w:lvlOverride w:ilvl="0">
      <w:startOverride w:val="1"/>
    </w:lvlOverride>
    <w:lvlOverride w:ilvl="1"/>
    <w:lvlOverride w:ilvl="2"/>
    <w:lvlOverride w:ilvl="3"/>
    <w:lvlOverride w:ilvl="4"/>
    <w:lvlOverride w:ilvl="5"/>
    <w:lvlOverride w:ilvl="6"/>
    <w:lvlOverride w:ilvl="7"/>
    <w:lvlOverride w:ilvl="8"/>
  </w:num>
  <w:num w:numId="41">
    <w:abstractNumId w:val="26"/>
  </w:num>
  <w:num w:numId="42">
    <w:abstractNumId w:val="37"/>
    <w:lvlOverride w:ilvl="0">
      <w:startOverride w:val="1"/>
    </w:lvlOverride>
    <w:lvlOverride w:ilvl="1"/>
    <w:lvlOverride w:ilvl="2"/>
    <w:lvlOverride w:ilvl="3"/>
    <w:lvlOverride w:ilvl="4"/>
    <w:lvlOverride w:ilvl="5"/>
    <w:lvlOverride w:ilvl="6"/>
    <w:lvlOverride w:ilvl="7"/>
    <w:lvlOverride w:ilvl="8"/>
  </w:num>
  <w:num w:numId="43">
    <w:abstractNumId w:val="19"/>
  </w:num>
  <w:num w:numId="44">
    <w:abstractNumId w:val="5"/>
  </w:num>
  <w:num w:numId="45">
    <w:abstractNumId w:val="13"/>
  </w:num>
  <w:num w:numId="46">
    <w:abstractNumId w:val="32"/>
  </w:num>
  <w:num w:numId="47">
    <w:abstractNumId w:val="17"/>
  </w:num>
  <w:num w:numId="48">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2B8C"/>
    <w:rsid w:val="00023742"/>
    <w:rsid w:val="00023AAA"/>
    <w:rsid w:val="00024AEF"/>
    <w:rsid w:val="00026C65"/>
    <w:rsid w:val="0002740E"/>
    <w:rsid w:val="00027755"/>
    <w:rsid w:val="00027864"/>
    <w:rsid w:val="0002789E"/>
    <w:rsid w:val="00030048"/>
    <w:rsid w:val="000304AD"/>
    <w:rsid w:val="0003072D"/>
    <w:rsid w:val="000314CD"/>
    <w:rsid w:val="0003332B"/>
    <w:rsid w:val="00033544"/>
    <w:rsid w:val="0003475E"/>
    <w:rsid w:val="0003479E"/>
    <w:rsid w:val="00035691"/>
    <w:rsid w:val="0003576C"/>
    <w:rsid w:val="00035B19"/>
    <w:rsid w:val="0003767C"/>
    <w:rsid w:val="00040F4F"/>
    <w:rsid w:val="0004132D"/>
    <w:rsid w:val="00041C9D"/>
    <w:rsid w:val="00044CFA"/>
    <w:rsid w:val="000459C7"/>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1EF3"/>
    <w:rsid w:val="00082154"/>
    <w:rsid w:val="00083800"/>
    <w:rsid w:val="00084648"/>
    <w:rsid w:val="00084A65"/>
    <w:rsid w:val="0008559A"/>
    <w:rsid w:val="000902C2"/>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6BE"/>
    <w:rsid w:val="000F68D0"/>
    <w:rsid w:val="000F6B15"/>
    <w:rsid w:val="000F7CBB"/>
    <w:rsid w:val="00100C7F"/>
    <w:rsid w:val="0010170B"/>
    <w:rsid w:val="00101C4F"/>
    <w:rsid w:val="00101F2D"/>
    <w:rsid w:val="00102C9F"/>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3D6E"/>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7B1"/>
    <w:rsid w:val="00150175"/>
    <w:rsid w:val="001502C8"/>
    <w:rsid w:val="00151011"/>
    <w:rsid w:val="00151224"/>
    <w:rsid w:val="0015130F"/>
    <w:rsid w:val="00152074"/>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DD"/>
    <w:rsid w:val="00174FFD"/>
    <w:rsid w:val="001759CA"/>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7E0C"/>
    <w:rsid w:val="001C0674"/>
    <w:rsid w:val="001C1405"/>
    <w:rsid w:val="001C1B93"/>
    <w:rsid w:val="001C1F3C"/>
    <w:rsid w:val="001C226F"/>
    <w:rsid w:val="001C5296"/>
    <w:rsid w:val="001C57E1"/>
    <w:rsid w:val="001C66AC"/>
    <w:rsid w:val="001C674E"/>
    <w:rsid w:val="001C6754"/>
    <w:rsid w:val="001C77F0"/>
    <w:rsid w:val="001D0ABE"/>
    <w:rsid w:val="001D30C9"/>
    <w:rsid w:val="001D32DB"/>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77DF"/>
    <w:rsid w:val="0024788C"/>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1589"/>
    <w:rsid w:val="00273177"/>
    <w:rsid w:val="0027455B"/>
    <w:rsid w:val="00275074"/>
    <w:rsid w:val="00275BD1"/>
    <w:rsid w:val="002763E9"/>
    <w:rsid w:val="00276736"/>
    <w:rsid w:val="00276F4E"/>
    <w:rsid w:val="0027717E"/>
    <w:rsid w:val="0027773D"/>
    <w:rsid w:val="002815FA"/>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0E2A"/>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0FC"/>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7D4"/>
    <w:rsid w:val="00374848"/>
    <w:rsid w:val="003757A1"/>
    <w:rsid w:val="00375D09"/>
    <w:rsid w:val="003762DC"/>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0971"/>
    <w:rsid w:val="00392491"/>
    <w:rsid w:val="003935B0"/>
    <w:rsid w:val="00393E44"/>
    <w:rsid w:val="00394301"/>
    <w:rsid w:val="00395796"/>
    <w:rsid w:val="0039747B"/>
    <w:rsid w:val="00397AB6"/>
    <w:rsid w:val="00397ACA"/>
    <w:rsid w:val="003A10C3"/>
    <w:rsid w:val="003A495D"/>
    <w:rsid w:val="003A4A40"/>
    <w:rsid w:val="003A4C7C"/>
    <w:rsid w:val="003A5611"/>
    <w:rsid w:val="003A5844"/>
    <w:rsid w:val="003A597F"/>
    <w:rsid w:val="003A6753"/>
    <w:rsid w:val="003A71A8"/>
    <w:rsid w:val="003A71D2"/>
    <w:rsid w:val="003A78E6"/>
    <w:rsid w:val="003B00CA"/>
    <w:rsid w:val="003B030B"/>
    <w:rsid w:val="003B0432"/>
    <w:rsid w:val="003B0821"/>
    <w:rsid w:val="003B0BE9"/>
    <w:rsid w:val="003B0F4B"/>
    <w:rsid w:val="003B1DCF"/>
    <w:rsid w:val="003B2E9B"/>
    <w:rsid w:val="003B2F8D"/>
    <w:rsid w:val="003B3524"/>
    <w:rsid w:val="003B3C64"/>
    <w:rsid w:val="003B4FAA"/>
    <w:rsid w:val="003B547A"/>
    <w:rsid w:val="003B6EC0"/>
    <w:rsid w:val="003B6F24"/>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3E0"/>
    <w:rsid w:val="003E1660"/>
    <w:rsid w:val="003E1CD1"/>
    <w:rsid w:val="003E1E4B"/>
    <w:rsid w:val="003E2A2D"/>
    <w:rsid w:val="003E47D4"/>
    <w:rsid w:val="003E50B9"/>
    <w:rsid w:val="003E64A9"/>
    <w:rsid w:val="003E7905"/>
    <w:rsid w:val="003F0336"/>
    <w:rsid w:val="003F222E"/>
    <w:rsid w:val="003F3FCC"/>
    <w:rsid w:val="003F42C3"/>
    <w:rsid w:val="003F5547"/>
    <w:rsid w:val="003F5C40"/>
    <w:rsid w:val="003F6E12"/>
    <w:rsid w:val="003F6F8B"/>
    <w:rsid w:val="003F75ED"/>
    <w:rsid w:val="003F7B42"/>
    <w:rsid w:val="004002B7"/>
    <w:rsid w:val="00400F31"/>
    <w:rsid w:val="004023BA"/>
    <w:rsid w:val="00405B57"/>
    <w:rsid w:val="00406B4D"/>
    <w:rsid w:val="004100A9"/>
    <w:rsid w:val="0041443C"/>
    <w:rsid w:val="0041488F"/>
    <w:rsid w:val="004154F7"/>
    <w:rsid w:val="00416C5D"/>
    <w:rsid w:val="00416D44"/>
    <w:rsid w:val="004176FF"/>
    <w:rsid w:val="00417A1E"/>
    <w:rsid w:val="00420523"/>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3A9"/>
    <w:rsid w:val="00434406"/>
    <w:rsid w:val="00435578"/>
    <w:rsid w:val="00440FED"/>
    <w:rsid w:val="00441B92"/>
    <w:rsid w:val="00443A9F"/>
    <w:rsid w:val="0044474B"/>
    <w:rsid w:val="00445FF7"/>
    <w:rsid w:val="0044717A"/>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6E8F"/>
    <w:rsid w:val="004874E4"/>
    <w:rsid w:val="0049070D"/>
    <w:rsid w:val="00490A39"/>
    <w:rsid w:val="00490E82"/>
    <w:rsid w:val="00491BE4"/>
    <w:rsid w:val="00491DB2"/>
    <w:rsid w:val="00492877"/>
    <w:rsid w:val="004931B2"/>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2B45"/>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4"/>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518ED"/>
    <w:rsid w:val="00551A57"/>
    <w:rsid w:val="00552093"/>
    <w:rsid w:val="00552705"/>
    <w:rsid w:val="0055305B"/>
    <w:rsid w:val="00554C49"/>
    <w:rsid w:val="00554E06"/>
    <w:rsid w:val="00554E4B"/>
    <w:rsid w:val="0055519C"/>
    <w:rsid w:val="00555F67"/>
    <w:rsid w:val="00556E32"/>
    <w:rsid w:val="005604AE"/>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D1A"/>
    <w:rsid w:val="005A704D"/>
    <w:rsid w:val="005A74A6"/>
    <w:rsid w:val="005B0599"/>
    <w:rsid w:val="005B122A"/>
    <w:rsid w:val="005B3C6D"/>
    <w:rsid w:val="005B4045"/>
    <w:rsid w:val="005B609E"/>
    <w:rsid w:val="005B6914"/>
    <w:rsid w:val="005B6DF6"/>
    <w:rsid w:val="005B7B7D"/>
    <w:rsid w:val="005C1948"/>
    <w:rsid w:val="005C22F9"/>
    <w:rsid w:val="005C263C"/>
    <w:rsid w:val="005C2679"/>
    <w:rsid w:val="005C298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65B8"/>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832"/>
    <w:rsid w:val="00627D31"/>
    <w:rsid w:val="00630118"/>
    <w:rsid w:val="00630514"/>
    <w:rsid w:val="006310AE"/>
    <w:rsid w:val="00631762"/>
    <w:rsid w:val="00632196"/>
    <w:rsid w:val="00632BA2"/>
    <w:rsid w:val="0063385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389E"/>
    <w:rsid w:val="0069469A"/>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6798"/>
    <w:rsid w:val="006C6DF7"/>
    <w:rsid w:val="006D0C12"/>
    <w:rsid w:val="006D0E6B"/>
    <w:rsid w:val="006D2146"/>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3FCC"/>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1706"/>
    <w:rsid w:val="00721EA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E8C"/>
    <w:rsid w:val="00772FDB"/>
    <w:rsid w:val="007736D3"/>
    <w:rsid w:val="00773797"/>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87209"/>
    <w:rsid w:val="0079018D"/>
    <w:rsid w:val="007901DC"/>
    <w:rsid w:val="00791A00"/>
    <w:rsid w:val="00791DDB"/>
    <w:rsid w:val="00792CEE"/>
    <w:rsid w:val="007936A8"/>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7228"/>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0EE3"/>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716F"/>
    <w:rsid w:val="00897C71"/>
    <w:rsid w:val="008A0F54"/>
    <w:rsid w:val="008A113F"/>
    <w:rsid w:val="008A16F9"/>
    <w:rsid w:val="008A1D3E"/>
    <w:rsid w:val="008A3038"/>
    <w:rsid w:val="008A4B16"/>
    <w:rsid w:val="008A4D63"/>
    <w:rsid w:val="008A4E11"/>
    <w:rsid w:val="008A5493"/>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0F82"/>
    <w:rsid w:val="009213BD"/>
    <w:rsid w:val="00922571"/>
    <w:rsid w:val="009230A6"/>
    <w:rsid w:val="00924627"/>
    <w:rsid w:val="009250A8"/>
    <w:rsid w:val="00925BE6"/>
    <w:rsid w:val="00926697"/>
    <w:rsid w:val="00926F61"/>
    <w:rsid w:val="00926FA9"/>
    <w:rsid w:val="0093123D"/>
    <w:rsid w:val="00933040"/>
    <w:rsid w:val="009330E9"/>
    <w:rsid w:val="00933E23"/>
    <w:rsid w:val="00934D97"/>
    <w:rsid w:val="00935B47"/>
    <w:rsid w:val="00935D15"/>
    <w:rsid w:val="009411FB"/>
    <w:rsid w:val="009414A9"/>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79E"/>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6919"/>
    <w:rsid w:val="009A6AC7"/>
    <w:rsid w:val="009B001E"/>
    <w:rsid w:val="009B0408"/>
    <w:rsid w:val="009B0843"/>
    <w:rsid w:val="009B0B71"/>
    <w:rsid w:val="009B0DEE"/>
    <w:rsid w:val="009B1335"/>
    <w:rsid w:val="009B176D"/>
    <w:rsid w:val="009B1E47"/>
    <w:rsid w:val="009B2CED"/>
    <w:rsid w:val="009B3054"/>
    <w:rsid w:val="009B335D"/>
    <w:rsid w:val="009B3C90"/>
    <w:rsid w:val="009B76E3"/>
    <w:rsid w:val="009B7A72"/>
    <w:rsid w:val="009B7BB8"/>
    <w:rsid w:val="009C00D3"/>
    <w:rsid w:val="009C0D90"/>
    <w:rsid w:val="009C0E9B"/>
    <w:rsid w:val="009C126A"/>
    <w:rsid w:val="009C1A09"/>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118"/>
    <w:rsid w:val="00A2566C"/>
    <w:rsid w:val="00A25F05"/>
    <w:rsid w:val="00A26491"/>
    <w:rsid w:val="00A30B2D"/>
    <w:rsid w:val="00A311AE"/>
    <w:rsid w:val="00A312A6"/>
    <w:rsid w:val="00A3130E"/>
    <w:rsid w:val="00A3193B"/>
    <w:rsid w:val="00A324CF"/>
    <w:rsid w:val="00A32E8B"/>
    <w:rsid w:val="00A32ED6"/>
    <w:rsid w:val="00A33776"/>
    <w:rsid w:val="00A344A5"/>
    <w:rsid w:val="00A34647"/>
    <w:rsid w:val="00A346C3"/>
    <w:rsid w:val="00A34D4A"/>
    <w:rsid w:val="00A36155"/>
    <w:rsid w:val="00A3629E"/>
    <w:rsid w:val="00A365AD"/>
    <w:rsid w:val="00A373FE"/>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60B4"/>
    <w:rsid w:val="00AC67B6"/>
    <w:rsid w:val="00AC7588"/>
    <w:rsid w:val="00AC7D98"/>
    <w:rsid w:val="00AD00C5"/>
    <w:rsid w:val="00AD165F"/>
    <w:rsid w:val="00AD2794"/>
    <w:rsid w:val="00AD2DC5"/>
    <w:rsid w:val="00AD2E3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6454"/>
    <w:rsid w:val="00B1746F"/>
    <w:rsid w:val="00B20725"/>
    <w:rsid w:val="00B2087E"/>
    <w:rsid w:val="00B20B11"/>
    <w:rsid w:val="00B20B94"/>
    <w:rsid w:val="00B22ABA"/>
    <w:rsid w:val="00B248D0"/>
    <w:rsid w:val="00B25D54"/>
    <w:rsid w:val="00B2628E"/>
    <w:rsid w:val="00B266B0"/>
    <w:rsid w:val="00B27921"/>
    <w:rsid w:val="00B3000E"/>
    <w:rsid w:val="00B326A8"/>
    <w:rsid w:val="00B329EB"/>
    <w:rsid w:val="00B32FCD"/>
    <w:rsid w:val="00B33508"/>
    <w:rsid w:val="00B3377E"/>
    <w:rsid w:val="00B34E63"/>
    <w:rsid w:val="00B35DA4"/>
    <w:rsid w:val="00B40A96"/>
    <w:rsid w:val="00B4184B"/>
    <w:rsid w:val="00B41E4D"/>
    <w:rsid w:val="00B422A7"/>
    <w:rsid w:val="00B42A32"/>
    <w:rsid w:val="00B42FA6"/>
    <w:rsid w:val="00B4399E"/>
    <w:rsid w:val="00B43A16"/>
    <w:rsid w:val="00B44A4A"/>
    <w:rsid w:val="00B45CE1"/>
    <w:rsid w:val="00B46A75"/>
    <w:rsid w:val="00B470A7"/>
    <w:rsid w:val="00B500CD"/>
    <w:rsid w:val="00B5109D"/>
    <w:rsid w:val="00B5239C"/>
    <w:rsid w:val="00B52E3A"/>
    <w:rsid w:val="00B53259"/>
    <w:rsid w:val="00B53893"/>
    <w:rsid w:val="00B548C2"/>
    <w:rsid w:val="00B54B6A"/>
    <w:rsid w:val="00B55428"/>
    <w:rsid w:val="00B570BF"/>
    <w:rsid w:val="00B60471"/>
    <w:rsid w:val="00B606E2"/>
    <w:rsid w:val="00B60B8F"/>
    <w:rsid w:val="00B625CC"/>
    <w:rsid w:val="00B63337"/>
    <w:rsid w:val="00B6369F"/>
    <w:rsid w:val="00B639D7"/>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68F"/>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57CD"/>
    <w:rsid w:val="00C072FE"/>
    <w:rsid w:val="00C11ADE"/>
    <w:rsid w:val="00C126E0"/>
    <w:rsid w:val="00C12E39"/>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61E8"/>
    <w:rsid w:val="00C70084"/>
    <w:rsid w:val="00C7090B"/>
    <w:rsid w:val="00C7235B"/>
    <w:rsid w:val="00C7292A"/>
    <w:rsid w:val="00C72E18"/>
    <w:rsid w:val="00C731AD"/>
    <w:rsid w:val="00C7380B"/>
    <w:rsid w:val="00C74421"/>
    <w:rsid w:val="00C75F2F"/>
    <w:rsid w:val="00C75FEE"/>
    <w:rsid w:val="00C76A68"/>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2C9D"/>
    <w:rsid w:val="00CB3BBA"/>
    <w:rsid w:val="00CB4288"/>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3E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4D45"/>
    <w:rsid w:val="00D758B3"/>
    <w:rsid w:val="00D764A9"/>
    <w:rsid w:val="00D7687E"/>
    <w:rsid w:val="00D76ADC"/>
    <w:rsid w:val="00D77413"/>
    <w:rsid w:val="00D80B04"/>
    <w:rsid w:val="00D80EB3"/>
    <w:rsid w:val="00D81F10"/>
    <w:rsid w:val="00D82798"/>
    <w:rsid w:val="00D82BF2"/>
    <w:rsid w:val="00D844D8"/>
    <w:rsid w:val="00D84A57"/>
    <w:rsid w:val="00D86BC4"/>
    <w:rsid w:val="00D87307"/>
    <w:rsid w:val="00D874DF"/>
    <w:rsid w:val="00D87A12"/>
    <w:rsid w:val="00D930E1"/>
    <w:rsid w:val="00D9354D"/>
    <w:rsid w:val="00D93F5A"/>
    <w:rsid w:val="00D9415C"/>
    <w:rsid w:val="00D942CC"/>
    <w:rsid w:val="00D944E4"/>
    <w:rsid w:val="00D94D87"/>
    <w:rsid w:val="00D95B31"/>
    <w:rsid w:val="00D95DCC"/>
    <w:rsid w:val="00D962DC"/>
    <w:rsid w:val="00DA14F3"/>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731"/>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4C02"/>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27863"/>
    <w:rsid w:val="00E30F2D"/>
    <w:rsid w:val="00E319DB"/>
    <w:rsid w:val="00E31AFC"/>
    <w:rsid w:val="00E3250F"/>
    <w:rsid w:val="00E33ABE"/>
    <w:rsid w:val="00E3409E"/>
    <w:rsid w:val="00E34F76"/>
    <w:rsid w:val="00E35AD0"/>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4F5D"/>
    <w:rsid w:val="00E76034"/>
    <w:rsid w:val="00E80440"/>
    <w:rsid w:val="00E805F1"/>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35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2E14"/>
    <w:rsid w:val="00EE3663"/>
    <w:rsid w:val="00EE41C4"/>
    <w:rsid w:val="00EE4BFF"/>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5C9"/>
    <w:rsid w:val="00F6299F"/>
    <w:rsid w:val="00F657CF"/>
    <w:rsid w:val="00F65808"/>
    <w:rsid w:val="00F6587D"/>
    <w:rsid w:val="00F66A00"/>
    <w:rsid w:val="00F66CFB"/>
    <w:rsid w:val="00F67EAA"/>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875"/>
    <w:rsid w:val="00FD1A38"/>
    <w:rsid w:val="00FD215C"/>
    <w:rsid w:val="00FD236B"/>
    <w:rsid w:val="00FD2785"/>
    <w:rsid w:val="00FD33FC"/>
    <w:rsid w:val="00FD3730"/>
    <w:rsid w:val="00FD398F"/>
    <w:rsid w:val="00FD3ADE"/>
    <w:rsid w:val="00FD3B08"/>
    <w:rsid w:val="00FD4806"/>
    <w:rsid w:val="00FD4BA4"/>
    <w:rsid w:val="00FD534E"/>
    <w:rsid w:val="00FD56C7"/>
    <w:rsid w:val="00FD5CBB"/>
    <w:rsid w:val="00FD6564"/>
    <w:rsid w:val="00FD6B74"/>
    <w:rsid w:val="00FD70AE"/>
    <w:rsid w:val="00FE002E"/>
    <w:rsid w:val="00FE2398"/>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 w:type="character" w:styleId="UnresolvedMention">
    <w:name w:val="Unresolved Mention"/>
    <w:basedOn w:val="DefaultParagraphFont"/>
    <w:uiPriority w:val="99"/>
    <w:semiHidden/>
    <w:unhideWhenUsed/>
    <w:rsid w:val="00B52E3A"/>
    <w:rPr>
      <w:color w:val="605E5C"/>
      <w:shd w:val="clear" w:color="auto" w:fill="E1DFDD"/>
    </w:rPr>
  </w:style>
  <w:style w:type="character" w:customStyle="1" w:styleId="TALChar">
    <w:name w:val="TAL Char"/>
    <w:locked/>
    <w:rsid w:val="005604AE"/>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468550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712336">
      <w:bodyDiv w:val="1"/>
      <w:marLeft w:val="0"/>
      <w:marRight w:val="0"/>
      <w:marTop w:val="0"/>
      <w:marBottom w:val="0"/>
      <w:divBdr>
        <w:top w:val="none" w:sz="0" w:space="0" w:color="auto"/>
        <w:left w:val="none" w:sz="0" w:space="0" w:color="auto"/>
        <w:bottom w:val="none" w:sz="0" w:space="0" w:color="auto"/>
        <w:right w:val="none" w:sz="0" w:space="0" w:color="auto"/>
      </w:divBdr>
    </w:div>
    <w:div w:id="306784133">
      <w:bodyDiv w:val="1"/>
      <w:marLeft w:val="0"/>
      <w:marRight w:val="0"/>
      <w:marTop w:val="0"/>
      <w:marBottom w:val="0"/>
      <w:divBdr>
        <w:top w:val="none" w:sz="0" w:space="0" w:color="auto"/>
        <w:left w:val="none" w:sz="0" w:space="0" w:color="auto"/>
        <w:bottom w:val="none" w:sz="0" w:space="0" w:color="auto"/>
        <w:right w:val="none" w:sz="0" w:space="0" w:color="auto"/>
      </w:divBdr>
    </w:div>
    <w:div w:id="314918347">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30588524">
      <w:bodyDiv w:val="1"/>
      <w:marLeft w:val="0"/>
      <w:marRight w:val="0"/>
      <w:marTop w:val="0"/>
      <w:marBottom w:val="0"/>
      <w:divBdr>
        <w:top w:val="none" w:sz="0" w:space="0" w:color="auto"/>
        <w:left w:val="none" w:sz="0" w:space="0" w:color="auto"/>
        <w:bottom w:val="none" w:sz="0" w:space="0" w:color="auto"/>
        <w:right w:val="none" w:sz="0" w:space="0" w:color="auto"/>
      </w:divBdr>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74377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71105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887923">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23313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419079">
      <w:bodyDiv w:val="1"/>
      <w:marLeft w:val="0"/>
      <w:marRight w:val="0"/>
      <w:marTop w:val="0"/>
      <w:marBottom w:val="0"/>
      <w:divBdr>
        <w:top w:val="none" w:sz="0" w:space="0" w:color="auto"/>
        <w:left w:val="none" w:sz="0" w:space="0" w:color="auto"/>
        <w:bottom w:val="none" w:sz="0" w:space="0" w:color="auto"/>
        <w:right w:val="none" w:sz="0" w:space="0" w:color="auto"/>
      </w:divBdr>
      <w:divsChild>
        <w:div w:id="1807504832">
          <w:marLeft w:val="446"/>
          <w:marRight w:val="0"/>
          <w:marTop w:val="0"/>
          <w:marBottom w:val="120"/>
          <w:divBdr>
            <w:top w:val="none" w:sz="0" w:space="0" w:color="auto"/>
            <w:left w:val="none" w:sz="0" w:space="0" w:color="auto"/>
            <w:bottom w:val="none" w:sz="0" w:space="0" w:color="auto"/>
            <w:right w:val="none" w:sz="0" w:space="0" w:color="auto"/>
          </w:divBdr>
        </w:div>
        <w:div w:id="274290228">
          <w:marLeft w:val="80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67149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17550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373541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389810">
      <w:bodyDiv w:val="1"/>
      <w:marLeft w:val="0"/>
      <w:marRight w:val="0"/>
      <w:marTop w:val="0"/>
      <w:marBottom w:val="0"/>
      <w:divBdr>
        <w:top w:val="none" w:sz="0" w:space="0" w:color="auto"/>
        <w:left w:val="none" w:sz="0" w:space="0" w:color="auto"/>
        <w:bottom w:val="none" w:sz="0" w:space="0" w:color="auto"/>
        <w:right w:val="none" w:sz="0" w:space="0" w:color="auto"/>
      </w:divBdr>
    </w:div>
    <w:div w:id="209073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033CCBF-3BF0-4E33-829F-950833B31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2213</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Nokia-user</cp:lastModifiedBy>
  <cp:revision>2</cp:revision>
  <cp:lastPrinted>2016-06-20T11:35:00Z</cp:lastPrinted>
  <dcterms:created xsi:type="dcterms:W3CDTF">2019-04-01T17:01:00Z</dcterms:created>
  <dcterms:modified xsi:type="dcterms:W3CDTF">2019-04-01T17:01:00Z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